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8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footer2.xml" ContentType="application/vnd.openxmlformats-officedocument.wordprocessingml.footer+xml"/>
  <Override PartName="/word/charts/chart9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drawings/drawing1.xml" ContentType="application/vnd.openxmlformats-officedocument.drawingml.chartshapes+xml"/>
  <Override PartName="/word/charts/chart10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drawings/drawing2.xml" ContentType="application/vnd.openxmlformats-officedocument.drawingml.chartshapes+xml"/>
  <Override PartName="/word/charts/chart11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12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charts/chart13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charts/chart14.xml" ContentType="application/vnd.openxmlformats-officedocument.drawingml.chart+xml"/>
  <Override PartName="/word/charts/style8.xml" ContentType="application/vnd.ms-office.chartstyle+xml"/>
  <Override PartName="/word/charts/colors8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1EEA17" w14:textId="5E77D326" w:rsidR="002F168C" w:rsidRDefault="002F168C" w:rsidP="002F168C">
      <w:pPr>
        <w:spacing w:before="120" w:after="0"/>
        <w:rPr>
          <w:rFonts w:ascii="Arial" w:hAnsi="Arial" w:cs="Arial"/>
          <w:b/>
          <w:bCs/>
          <w:sz w:val="28"/>
          <w:szCs w:val="28"/>
        </w:rPr>
      </w:pPr>
    </w:p>
    <w:p w14:paraId="654C151C" w14:textId="0D8D90C9" w:rsidR="000C46E6" w:rsidRDefault="000C46E6" w:rsidP="00E34E08">
      <w:pPr>
        <w:rPr>
          <w:rFonts w:ascii="Arial" w:hAnsi="Arial" w:cs="Arial"/>
        </w:rPr>
      </w:pPr>
      <w:bookmarkStart w:id="0" w:name="_Hlk131506835"/>
      <w:bookmarkEnd w:id="0"/>
      <w:r>
        <w:rPr>
          <w:noProof/>
        </w:rPr>
        <w:drawing>
          <wp:anchor distT="0" distB="0" distL="114300" distR="114300" simplePos="0" relativeHeight="251664387" behindDoc="0" locked="0" layoutInCell="1" allowOverlap="1" wp14:anchorId="2EF56816" wp14:editId="2368D345">
            <wp:simplePos x="0" y="0"/>
            <wp:positionH relativeFrom="column">
              <wp:posOffset>3329305</wp:posOffset>
            </wp:positionH>
            <wp:positionV relativeFrom="paragraph">
              <wp:posOffset>9274175</wp:posOffset>
            </wp:positionV>
            <wp:extent cx="2522220" cy="360045"/>
            <wp:effectExtent l="0" t="0" r="0" b="1905"/>
            <wp:wrapNone/>
            <wp:docPr id="1167924217" name="Obrázek 1" descr="Obsah obrázku text, Písmo, snímek obrazovky, Elektricky modrá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7924217" name="Obrázek 1" descr="Obsah obrázku text, Písmo, snímek obrazovky, Elektricky modrá&#10;&#10;Popis byl vytvořen automaticky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2220" cy="360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3" behindDoc="0" locked="0" layoutInCell="1" allowOverlap="1" wp14:anchorId="296E3A1E" wp14:editId="66775C64">
                <wp:simplePos x="0" y="0"/>
                <wp:positionH relativeFrom="column">
                  <wp:posOffset>90805</wp:posOffset>
                </wp:positionH>
                <wp:positionV relativeFrom="paragraph">
                  <wp:posOffset>9121775</wp:posOffset>
                </wp:positionV>
                <wp:extent cx="2238375" cy="704850"/>
                <wp:effectExtent l="0" t="0" r="0" b="0"/>
                <wp:wrapNone/>
                <wp:docPr id="4" name="Textové po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38375" cy="704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2B66FFB" w14:textId="77777777" w:rsidR="000C46E6" w:rsidRDefault="000C46E6" w:rsidP="000C46E6">
                            <w:pPr>
                              <w:tabs>
                                <w:tab w:val="left" w:pos="567"/>
                              </w:tabs>
                              <w:autoSpaceDE w:val="0"/>
                              <w:autoSpaceDN w:val="0"/>
                              <w:adjustRightInd w:val="0"/>
                              <w:textAlignment w:val="center"/>
                              <w:rPr>
                                <w:rFonts w:ascii="Asap" w:hAnsi="Asap" w:cs="Asap"/>
                                <w:color w:val="00355F"/>
                                <w:spacing w:val="7"/>
                                <w:sz w:val="15"/>
                                <w:szCs w:val="15"/>
                              </w:rPr>
                            </w:pPr>
                          </w:p>
                          <w:p w14:paraId="5BF2E931" w14:textId="77777777" w:rsidR="000C46E6" w:rsidRDefault="000C46E6" w:rsidP="000C46E6">
                            <w:r w:rsidRPr="00DB4301">
                              <w:rPr>
                                <w:rFonts w:ascii="Asap SemiBold" w:hAnsi="Asap SemiBold" w:cs="Asap SemiBold"/>
                                <w:b/>
                                <w:bCs/>
                                <w:color w:val="00355F"/>
                                <w:spacing w:val="6"/>
                                <w:sz w:val="16"/>
                                <w:szCs w:val="16"/>
                              </w:rPr>
                              <w:t>www.regionpilsen.cz </w:t>
                            </w:r>
                          </w:p>
                          <w:p w14:paraId="10E8E421" w14:textId="77777777" w:rsidR="000C46E6" w:rsidRDefault="000C46E6" w:rsidP="000C46E6">
                            <w:pPr>
                              <w:tabs>
                                <w:tab w:val="left" w:pos="567"/>
                              </w:tabs>
                              <w:autoSpaceDE w:val="0"/>
                              <w:autoSpaceDN w:val="0"/>
                              <w:adjustRightInd w:val="0"/>
                              <w:textAlignment w:val="center"/>
                              <w:rPr>
                                <w:rFonts w:ascii="Asap" w:hAnsi="Asap" w:cs="Asap"/>
                                <w:color w:val="00355F"/>
                                <w:spacing w:val="7"/>
                                <w:sz w:val="15"/>
                                <w:szCs w:val="15"/>
                              </w:rPr>
                            </w:pPr>
                          </w:p>
                          <w:p w14:paraId="51848BF8" w14:textId="77777777" w:rsidR="000C46E6" w:rsidRPr="009B2C5F" w:rsidRDefault="000C46E6" w:rsidP="000C46E6">
                            <w:pPr>
                              <w:tabs>
                                <w:tab w:val="left" w:pos="567"/>
                              </w:tabs>
                              <w:autoSpaceDE w:val="0"/>
                              <w:autoSpaceDN w:val="0"/>
                              <w:adjustRightInd w:val="0"/>
                              <w:textAlignment w:val="center"/>
                              <w:rPr>
                                <w:sz w:val="15"/>
                                <w:szCs w:val="15"/>
                              </w:rPr>
                            </w:pPr>
                          </w:p>
                          <w:p w14:paraId="64FA9BF5" w14:textId="77777777" w:rsidR="000C46E6" w:rsidRDefault="000C46E6" w:rsidP="000C46E6">
                            <w:r w:rsidRPr="00DB4301">
                              <w:rPr>
                                <w:rFonts w:ascii="Asap SemiBold" w:hAnsi="Asap SemiBold" w:cs="Asap SemiBold"/>
                                <w:b/>
                                <w:bCs/>
                                <w:color w:val="00355F"/>
                                <w:spacing w:val="6"/>
                                <w:sz w:val="16"/>
                                <w:szCs w:val="16"/>
                              </w:rPr>
                              <w:t>www.regionpilsen.cz </w:t>
                            </w:r>
                          </w:p>
                          <w:p w14:paraId="7D3DF14C" w14:textId="77777777" w:rsidR="000C46E6" w:rsidRDefault="000C46E6" w:rsidP="000C46E6">
                            <w:pPr>
                              <w:tabs>
                                <w:tab w:val="left" w:pos="567"/>
                              </w:tabs>
                              <w:autoSpaceDE w:val="0"/>
                              <w:autoSpaceDN w:val="0"/>
                              <w:adjustRightInd w:val="0"/>
                              <w:textAlignment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96E3A1E" id="_x0000_t202" coordsize="21600,21600" o:spt="202" path="m,l,21600r21600,l21600,xe">
                <v:stroke joinstyle="miter"/>
                <v:path gradientshapeok="t" o:connecttype="rect"/>
              </v:shapetype>
              <v:shape id="Textové pole 4" o:spid="_x0000_s1026" type="#_x0000_t202" style="position:absolute;margin-left:7.15pt;margin-top:718.25pt;width:176.25pt;height:55.5pt;z-index:25166336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UFdFwIAACwEAAAOAAAAZHJzL2Uyb0RvYy54bWysU02P2yAQvVfqf0DcGydOskmtOKt0V6kq&#10;RbsrZas9EwyxJcxQILHTX98BOx/d9lT1AgMzzMd7j8V9WytyFNZVoHM6GgwpEZpDUel9Tr+/rj/N&#10;KXGe6YIp0CKnJ+Ho/fLjh0VjMpFCCaoQlmAS7bLG5LT03mRJ4ngpauYGYIRGpwRbM49Hu08KyxrM&#10;XqskHQ7vkgZsYSxw4RzePnZOuoz5pRTcP0vphCcqp9ibj6uN6y6syXLBsr1lpqx43wb7hy5qVmks&#10;ekn1yDwjB1v9kaquuAUH0g841AlIWXERZ8BpRsN302xLZkScBcFx5gKT+39p+dNxa14s8e0XaJHA&#10;AEhjXObwMszTSluHHTsl6EcITxfYROsJx8s0Hc/HsyklHH2z4WQ+jbgm19fGOv9VQE2CkVOLtES0&#10;2HHjPFbE0HNIKKZhXSkVqVGaNDm9G2PK3zz4Qml8eO01WL7dtf0AOyhOOJeFjnJn+LrC4hvm/Auz&#10;yDGOgrr1z7hIBVgEeouSEuzPv92HeIQevZQ0qJmcuh8HZgUl6ptGUj6PJpMgsniYTGcpHuytZ3fr&#10;0Yf6AVCWI/whhkczxHt1NqWF+g3lvQpV0cU0x9o59WfzwXdKxu/BxWoVg1BWhvmN3hoeUgfQArSv&#10;7RuzpsffI3NPcFYXy97R0MV2cK8OHmQVOQoAd6j2uKMkI3X99wmavz3HqOsnX/4CAAD//wMAUEsD&#10;BBQABgAIAAAAIQDLUULe4gAAAAwBAAAPAAAAZHJzL2Rvd25yZXYueG1sTI9BT8JAEIXvJv6HzZh4&#10;k61AKyndEtKEmBg9gFy4TbtD29jdrd0Fqr/ekYueJm/m5c33stVoOnGmwbfOKnicRCDIVk63tlaw&#10;f988LED4gFZj5ywp+CIPq/z2JsNUu4vd0nkXasEh1qeooAmhT6X0VUMG/cT1ZPl2dIPBwHKopR7w&#10;wuGmk9MoSqTB1vKHBnsqGqo+diej4KXYvOG2nJrFd1c8vx7X/ef+ECt1fzeulyACjeHPDL/4jA45&#10;M5XuZLUXHev5jJ3XmcQg2DFLEi5T8iqeP8Ug80z+L5H/AAAA//8DAFBLAQItABQABgAIAAAAIQC2&#10;gziS/gAAAOEBAAATAAAAAAAAAAAAAAAAAAAAAABbQ29udGVudF9UeXBlc10ueG1sUEsBAi0AFAAG&#10;AAgAAAAhADj9If/WAAAAlAEAAAsAAAAAAAAAAAAAAAAALwEAAF9yZWxzLy5yZWxzUEsBAi0AFAAG&#10;AAgAAAAhACOBQV0XAgAALAQAAA4AAAAAAAAAAAAAAAAALgIAAGRycy9lMm9Eb2MueG1sUEsBAi0A&#10;FAAGAAgAAAAhAMtRQt7iAAAADAEAAA8AAAAAAAAAAAAAAAAAcQQAAGRycy9kb3ducmV2LnhtbFBL&#10;BQYAAAAABAAEAPMAAACABQAAAAA=&#10;" filled="f" stroked="f" strokeweight=".5pt">
                <v:textbox>
                  <w:txbxContent>
                    <w:p w14:paraId="72B66FFB" w14:textId="77777777" w:rsidR="000C46E6" w:rsidRDefault="000C46E6" w:rsidP="000C46E6">
                      <w:pPr>
                        <w:tabs>
                          <w:tab w:val="left" w:pos="567"/>
                        </w:tabs>
                        <w:autoSpaceDE w:val="0"/>
                        <w:autoSpaceDN w:val="0"/>
                        <w:adjustRightInd w:val="0"/>
                        <w:textAlignment w:val="center"/>
                        <w:rPr>
                          <w:rFonts w:ascii="Asap" w:hAnsi="Asap" w:cs="Asap"/>
                          <w:color w:val="00355F"/>
                          <w:spacing w:val="7"/>
                          <w:sz w:val="15"/>
                          <w:szCs w:val="15"/>
                        </w:rPr>
                      </w:pPr>
                    </w:p>
                    <w:p w14:paraId="5BF2E931" w14:textId="77777777" w:rsidR="000C46E6" w:rsidRDefault="000C46E6" w:rsidP="000C46E6">
                      <w:r w:rsidRPr="00DB4301">
                        <w:rPr>
                          <w:rFonts w:ascii="Asap SemiBold" w:hAnsi="Asap SemiBold" w:cs="Asap SemiBold"/>
                          <w:b/>
                          <w:bCs/>
                          <w:color w:val="00355F"/>
                          <w:spacing w:val="6"/>
                          <w:sz w:val="16"/>
                          <w:szCs w:val="16"/>
                        </w:rPr>
                        <w:t>www.regionpilsen.cz </w:t>
                      </w:r>
                    </w:p>
                    <w:p w14:paraId="10E8E421" w14:textId="77777777" w:rsidR="000C46E6" w:rsidRDefault="000C46E6" w:rsidP="000C46E6">
                      <w:pPr>
                        <w:tabs>
                          <w:tab w:val="left" w:pos="567"/>
                        </w:tabs>
                        <w:autoSpaceDE w:val="0"/>
                        <w:autoSpaceDN w:val="0"/>
                        <w:adjustRightInd w:val="0"/>
                        <w:textAlignment w:val="center"/>
                        <w:rPr>
                          <w:rFonts w:ascii="Asap" w:hAnsi="Asap" w:cs="Asap"/>
                          <w:color w:val="00355F"/>
                          <w:spacing w:val="7"/>
                          <w:sz w:val="15"/>
                          <w:szCs w:val="15"/>
                        </w:rPr>
                      </w:pPr>
                    </w:p>
                    <w:p w14:paraId="51848BF8" w14:textId="77777777" w:rsidR="000C46E6" w:rsidRPr="009B2C5F" w:rsidRDefault="000C46E6" w:rsidP="000C46E6">
                      <w:pPr>
                        <w:tabs>
                          <w:tab w:val="left" w:pos="567"/>
                        </w:tabs>
                        <w:autoSpaceDE w:val="0"/>
                        <w:autoSpaceDN w:val="0"/>
                        <w:adjustRightInd w:val="0"/>
                        <w:textAlignment w:val="center"/>
                        <w:rPr>
                          <w:sz w:val="15"/>
                          <w:szCs w:val="15"/>
                        </w:rPr>
                      </w:pPr>
                    </w:p>
                    <w:p w14:paraId="64FA9BF5" w14:textId="77777777" w:rsidR="000C46E6" w:rsidRDefault="000C46E6" w:rsidP="000C46E6">
                      <w:r w:rsidRPr="00DB4301">
                        <w:rPr>
                          <w:rFonts w:ascii="Asap SemiBold" w:hAnsi="Asap SemiBold" w:cs="Asap SemiBold"/>
                          <w:b/>
                          <w:bCs/>
                          <w:color w:val="00355F"/>
                          <w:spacing w:val="6"/>
                          <w:sz w:val="16"/>
                          <w:szCs w:val="16"/>
                        </w:rPr>
                        <w:t>www.regionpilsen.cz </w:t>
                      </w:r>
                    </w:p>
                    <w:p w14:paraId="7D3DF14C" w14:textId="77777777" w:rsidR="000C46E6" w:rsidRDefault="000C46E6" w:rsidP="000C46E6">
                      <w:pPr>
                        <w:tabs>
                          <w:tab w:val="left" w:pos="567"/>
                        </w:tabs>
                        <w:autoSpaceDE w:val="0"/>
                        <w:autoSpaceDN w:val="0"/>
                        <w:adjustRightInd w:val="0"/>
                        <w:textAlignment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2339" behindDoc="1" locked="0" layoutInCell="1" allowOverlap="1" wp14:anchorId="5C5A7885" wp14:editId="6477E41F">
            <wp:simplePos x="0" y="0"/>
            <wp:positionH relativeFrom="margin">
              <wp:posOffset>4698365</wp:posOffset>
            </wp:positionH>
            <wp:positionV relativeFrom="paragraph">
              <wp:posOffset>64770</wp:posOffset>
            </wp:positionV>
            <wp:extent cx="1447165" cy="578485"/>
            <wp:effectExtent l="0" t="0" r="635" b="0"/>
            <wp:wrapTight wrapText="bothSides">
              <wp:wrapPolygon edited="0">
                <wp:start x="0" y="0"/>
                <wp:lineTo x="0" y="20628"/>
                <wp:lineTo x="21325" y="20628"/>
                <wp:lineTo x="21325" y="0"/>
                <wp:lineTo x="0" y="0"/>
              </wp:wrapPolygon>
            </wp:wrapTight>
            <wp:docPr id="1941877804" name="Obrázek 2" descr="Obsah obrázku text, Písmo, logo, Grafika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1877804" name="Obrázek 2" descr="Obsah obrázku text, Písmo, logo, Grafika&#10;&#10;Popis byl vytvořen automaticky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165" cy="578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183D7D">
        <w:rPr>
          <w:noProof/>
        </w:rPr>
        <w:drawing>
          <wp:anchor distT="0" distB="0" distL="114300" distR="114300" simplePos="0" relativeHeight="251661315" behindDoc="1" locked="0" layoutInCell="1" allowOverlap="1" wp14:anchorId="253BC51F" wp14:editId="74A120E5">
            <wp:simplePos x="0" y="0"/>
            <wp:positionH relativeFrom="column">
              <wp:posOffset>-514350</wp:posOffset>
            </wp:positionH>
            <wp:positionV relativeFrom="page">
              <wp:posOffset>5609590</wp:posOffset>
            </wp:positionV>
            <wp:extent cx="6958965" cy="3326130"/>
            <wp:effectExtent l="0" t="0" r="635" b="1270"/>
            <wp:wrapNone/>
            <wp:docPr id="655845759" name="Obrázek 6558457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58965" cy="33261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dt>
      <w:sdtPr>
        <w:rPr>
          <w:rFonts w:ascii="Arial" w:hAnsi="Arial" w:cs="Arial"/>
        </w:rPr>
        <w:id w:val="-618760197"/>
        <w:docPartObj>
          <w:docPartGallery w:val="Cover Pages"/>
          <w:docPartUnique/>
        </w:docPartObj>
      </w:sdtPr>
      <w:sdtEndPr>
        <w:rPr>
          <w:noProof/>
          <w:sz w:val="2"/>
        </w:rPr>
      </w:sdtEndPr>
      <w:sdtContent>
        <w:p w14:paraId="665B1CD9" w14:textId="0AF82CD7" w:rsidR="007B70F7" w:rsidRDefault="000C46E6" w:rsidP="00E34E08">
          <w:pPr>
            <w:rPr>
              <w:rFonts w:ascii="Arial" w:hAnsi="Arial" w:cs="Arial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82880" distR="182880" simplePos="0" relativeHeight="251660291" behindDoc="0" locked="0" layoutInCell="1" allowOverlap="1" wp14:anchorId="3EC339EF" wp14:editId="0078D584">
                    <wp:simplePos x="0" y="0"/>
                    <wp:positionH relativeFrom="margin">
                      <wp:posOffset>-223520</wp:posOffset>
                    </wp:positionH>
                    <wp:positionV relativeFrom="page">
                      <wp:posOffset>1371600</wp:posOffset>
                    </wp:positionV>
                    <wp:extent cx="4752975" cy="6720840"/>
                    <wp:effectExtent l="0" t="0" r="9525" b="635"/>
                    <wp:wrapSquare wrapText="bothSides"/>
                    <wp:docPr id="131" name="Textové pole 13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4752975" cy="672084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3B434A9F" w14:textId="5F199BDB" w:rsidR="000C46E6" w:rsidRPr="002A77AD" w:rsidRDefault="0086466C" w:rsidP="000C46E6">
                                <w:pPr>
                                  <w:pStyle w:val="Bezmezer"/>
                                  <w:spacing w:before="40" w:after="560" w:line="216" w:lineRule="auto"/>
                                  <w:rPr>
                                    <w:color w:val="005A9B"/>
                                    <w:sz w:val="72"/>
                                    <w:szCs w:val="72"/>
                                  </w:rPr>
                                </w:pPr>
                                <w:sdt>
                                  <w:sdtPr>
                                    <w:rPr>
                                      <w:color w:val="005A9B"/>
                                      <w:sz w:val="72"/>
                                      <w:szCs w:val="72"/>
                                      <w:lang w:val="en-US" w:eastAsia="zh-CN"/>
                                    </w:rPr>
                                    <w:alias w:val="Název"/>
                                    <w:tag w:val=""/>
                                    <w:id w:val="151731938"/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proofErr w:type="spellStart"/>
                                    <w:r w:rsidR="000C46E6" w:rsidRPr="000C46E6">
                                      <w:rPr>
                                        <w:color w:val="005A9B"/>
                                        <w:sz w:val="72"/>
                                        <w:szCs w:val="72"/>
                                        <w:lang w:val="en-US" w:eastAsia="zh-CN"/>
                                      </w:rPr>
                                      <w:t>Globální</w:t>
                                    </w:r>
                                    <w:proofErr w:type="spellEnd"/>
                                    <w:r w:rsidR="000C46E6" w:rsidRPr="000C46E6">
                                      <w:rPr>
                                        <w:color w:val="005A9B"/>
                                        <w:sz w:val="72"/>
                                        <w:szCs w:val="72"/>
                                        <w:lang w:val="en-US" w:eastAsia="zh-CN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="000C46E6" w:rsidRPr="000C46E6">
                                      <w:rPr>
                                        <w:color w:val="005A9B"/>
                                        <w:sz w:val="72"/>
                                        <w:szCs w:val="72"/>
                                        <w:lang w:val="en-US" w:eastAsia="zh-CN"/>
                                      </w:rPr>
                                      <w:t>produkční</w:t>
                                    </w:r>
                                    <w:proofErr w:type="spellEnd"/>
                                    <w:r w:rsidR="000C46E6" w:rsidRPr="000C46E6">
                                      <w:rPr>
                                        <w:color w:val="005A9B"/>
                                        <w:sz w:val="72"/>
                                        <w:szCs w:val="72"/>
                                        <w:lang w:val="en-US" w:eastAsia="zh-CN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="000C46E6" w:rsidRPr="000C46E6">
                                      <w:rPr>
                                        <w:color w:val="005A9B"/>
                                        <w:sz w:val="72"/>
                                        <w:szCs w:val="72"/>
                                        <w:lang w:val="en-US" w:eastAsia="zh-CN"/>
                                      </w:rPr>
                                      <w:t>sítě</w:t>
                                    </w:r>
                                    <w:proofErr w:type="spellEnd"/>
                                    <w:r w:rsidR="000C46E6" w:rsidRPr="000C46E6">
                                      <w:rPr>
                                        <w:color w:val="005A9B"/>
                                        <w:sz w:val="72"/>
                                        <w:szCs w:val="72"/>
                                        <w:lang w:val="en-US" w:eastAsia="zh-CN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="000C46E6" w:rsidRPr="000C46E6">
                                      <w:rPr>
                                        <w:color w:val="005A9B"/>
                                        <w:sz w:val="72"/>
                                        <w:szCs w:val="72"/>
                                        <w:lang w:val="en-US" w:eastAsia="zh-CN"/>
                                      </w:rPr>
                                      <w:t>ve</w:t>
                                    </w:r>
                                    <w:proofErr w:type="spellEnd"/>
                                    <w:r w:rsidR="000C46E6" w:rsidRPr="000C46E6">
                                      <w:rPr>
                                        <w:color w:val="005A9B"/>
                                        <w:sz w:val="72"/>
                                        <w:szCs w:val="72"/>
                                        <w:lang w:val="en-US" w:eastAsia="zh-CN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="000C46E6" w:rsidRPr="000C46E6">
                                      <w:rPr>
                                        <w:color w:val="005A9B"/>
                                        <w:sz w:val="72"/>
                                        <w:szCs w:val="72"/>
                                        <w:lang w:val="en-US" w:eastAsia="zh-CN"/>
                                      </w:rPr>
                                      <w:t>vybraných</w:t>
                                    </w:r>
                                    <w:proofErr w:type="spellEnd"/>
                                    <w:r w:rsidR="000C46E6" w:rsidRPr="000C46E6">
                                      <w:rPr>
                                        <w:color w:val="005A9B"/>
                                        <w:sz w:val="72"/>
                                        <w:szCs w:val="72"/>
                                        <w:lang w:val="en-US" w:eastAsia="zh-CN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="000C46E6" w:rsidRPr="000C46E6">
                                      <w:rPr>
                                        <w:color w:val="005A9B"/>
                                        <w:sz w:val="72"/>
                                        <w:szCs w:val="72"/>
                                        <w:lang w:val="en-US" w:eastAsia="zh-CN"/>
                                      </w:rPr>
                                      <w:t>odvětvích</w:t>
                                    </w:r>
                                    <w:proofErr w:type="spellEnd"/>
                                    <w:r w:rsidR="000C46E6" w:rsidRPr="000C46E6">
                                      <w:rPr>
                                        <w:color w:val="005A9B"/>
                                        <w:sz w:val="72"/>
                                        <w:szCs w:val="72"/>
                                        <w:lang w:val="en-US" w:eastAsia="zh-CN"/>
                                      </w:rPr>
                                      <w:t xml:space="preserve"> v </w:t>
                                    </w:r>
                                    <w:proofErr w:type="spellStart"/>
                                    <w:r w:rsidR="000C46E6" w:rsidRPr="000C46E6">
                                      <w:rPr>
                                        <w:color w:val="005A9B"/>
                                        <w:sz w:val="72"/>
                                        <w:szCs w:val="72"/>
                                        <w:lang w:val="en-US" w:eastAsia="zh-CN"/>
                                      </w:rPr>
                                      <w:t>Plzeňském</w:t>
                                    </w:r>
                                    <w:proofErr w:type="spellEnd"/>
                                    <w:r w:rsidR="000C46E6" w:rsidRPr="000C46E6">
                                      <w:rPr>
                                        <w:color w:val="005A9B"/>
                                        <w:sz w:val="72"/>
                                        <w:szCs w:val="72"/>
                                        <w:lang w:val="en-US" w:eastAsia="zh-CN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="000C46E6" w:rsidRPr="000C46E6">
                                      <w:rPr>
                                        <w:color w:val="005A9B"/>
                                        <w:sz w:val="72"/>
                                        <w:szCs w:val="72"/>
                                        <w:lang w:val="en-US" w:eastAsia="zh-CN"/>
                                      </w:rPr>
                                      <w:t>kraji</w:t>
                                    </w:r>
                                    <w:proofErr w:type="spellEnd"/>
                                  </w:sdtContent>
                                </w:sdt>
                              </w:p>
                              <w:p w14:paraId="1F92906D" w14:textId="77777777" w:rsidR="000C46E6" w:rsidRDefault="0086466C" w:rsidP="000C46E6">
                                <w:pPr>
                                  <w:pStyle w:val="Nadpis1"/>
                                </w:pPr>
                                <w:sdt>
                                  <w:sdtPr>
                                    <w:alias w:val="Podtitul"/>
                                    <w:tag w:val=""/>
                                    <w:id w:val="-2090151685"/>
                                    <w:showingPlcHdr/>
  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r w:rsidR="000C46E6">
                                      <w:t xml:space="preserve">     </w:t>
                                    </w:r>
                                  </w:sdtContent>
                                </w:sdt>
                              </w:p>
                              <w:p w14:paraId="54BB7732" w14:textId="77777777" w:rsidR="000C46E6" w:rsidRDefault="000C46E6" w:rsidP="000C46E6">
                                <w:pPr>
                                  <w:pStyle w:val="Smartnadpis3"/>
                                </w:pPr>
                              </w:p>
                              <w:p w14:paraId="2C6FCBD7" w14:textId="77777777" w:rsidR="000C46E6" w:rsidRDefault="000C46E6" w:rsidP="000C46E6">
                                <w:pPr>
                                  <w:pStyle w:val="Smartnadpis3"/>
                                </w:pPr>
                                <w:r>
                                  <w:t>Ing. Pavel Beneš</w:t>
                                </w:r>
                              </w:p>
                              <w:p w14:paraId="57EBC27B" w14:textId="77777777" w:rsidR="000C46E6" w:rsidRDefault="000C46E6" w:rsidP="000C46E6">
                                <w:pPr>
                                  <w:pStyle w:val="Smartnadpis3"/>
                                </w:pPr>
                                <w:r>
                                  <w:t>Mgr. Martina Robotková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page">
                      <wp14:pctHeight>35000</wp14:pctHeight>
                    </wp14:sizeRelV>
                  </wp:anchor>
                </w:drawing>
              </mc:Choice>
              <mc:Fallback>
                <w:pict>
                  <v:shape w14:anchorId="3EC339EF" id="Textové pole 131" o:spid="_x0000_s1027" type="#_x0000_t202" style="position:absolute;margin-left:-17.6pt;margin-top:108pt;width:374.25pt;height:529.2pt;z-index:251660291;visibility:visible;mso-wrap-style:square;mso-width-percent:0;mso-height-percent:350;mso-wrap-distance-left:14.4pt;mso-wrap-distance-top:0;mso-wrap-distance-right:14.4pt;mso-wrap-distance-bottom:0;mso-position-horizontal:absolute;mso-position-horizontal-relative:margin;mso-position-vertical:absolute;mso-position-vertical-relative:page;mso-width-percent:0;mso-height-percent:35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dObYgIAADUFAAAOAAAAZHJzL2Uyb0RvYy54bWysVEtv2zAMvg/YfxB0X51mfS2oU2QtOgwo&#10;2mLt0LMiS40xWdQoJnb260fJdlJ0u3TYRabF98ePOr/oGic2BmMNvpSHBxMpjNdQ1f65lN8frz+c&#10;SRFJ+Uo58KaUWxPlxfz9u/M2zMwUVuAqg4KD+DhrQylXRGFWFFGvTKPiAQTjWWkBG0X8i89Fharl&#10;6I0rppPJSdECVgFBmxj59qpXynmOb63RdGdtNCRcKbk2yifmc5nOYn6uZs+owqrWQxnqH6poVO05&#10;6S7UlSIl1lj/EaqpNUIESwcamgKsrbXJPXA3h5NX3TysVDC5FwYnhh1M8f+F1bebh3CPgrrP0PEA&#10;EyBtiLPIl6mfzmKTvlypYD1DuN3BZjoSmi+PTo+nn06PpdCsOzmdTs6OMrDF3j1gpC8GGpGEUiLP&#10;JcOlNjeROCWbjiYpm4fr2rk8G+dFy1E/Hk+yw07DHs4nW5OnPITZl54l2jqTbJz/Zqyoq9xBusj8&#10;MpcOxUYxM5TWxlNuPsdl62RluYi3OA72+6re4tz3MWYGTzvnpvaAuftXZVc/xpJtb89Avug7idQt&#10;O278xWSXUG154Aj9LsSgr2seyo2KdK+Qyc8z5oWmOz6sAwYfBkmKFeCvv90ne+Yka6VoeZlKGX+u&#10;FRop3FfPbE2bNwo4CstR8OvmEngKh/xUBJ1FdkByo2gRmife80XKwirlNecqJY3iJfUrze+ENotF&#10;NuL9Copu/EPQKXQaSqLYY/ekMAw8JKbwLYxrpmav6NjbZr6ExZqYlJmrCdcexQFv3s1M4eEdScv/&#10;8j9b7V+7+W8AAAD//wMAUEsDBBQABgAIAAAAIQBbX0954QAAAAwBAAAPAAAAZHJzL2Rvd25yZXYu&#10;eG1sTI/LTsMwEEX3SPyDNUjsWidOHyjEqQAJRKVuCGzYufEQB2I72G4b/p7pCpajObr33Goz2YEd&#10;McTeOwn5PAOGrvW6d52Et9fH2Q2wmJTTavAOJfxghE19eVGpUvuTe8FjkzpGIS6WSoJJaSw5j61B&#10;q+Lcj+jo9+GDVYnO0HEd1InC7cBFlq24Vb2jBqNGfDDYfjUHK+G9CJ02Znn/KbY73Knn/mn73Uh5&#10;fTXd3QJLOKU/GM76pA41Oe39wenIBgmzYikIlSDyFY0iYp0XBbA9oWK9WACvK/5/RP0LAAD//wMA&#10;UEsBAi0AFAAGAAgAAAAhALaDOJL+AAAA4QEAABMAAAAAAAAAAAAAAAAAAAAAAFtDb250ZW50X1R5&#10;cGVzXS54bWxQSwECLQAUAAYACAAAACEAOP0h/9YAAACUAQAACwAAAAAAAAAAAAAAAAAvAQAAX3Jl&#10;bHMvLnJlbHNQSwECLQAUAAYACAAAACEAVSHTm2ICAAA1BQAADgAAAAAAAAAAAAAAAAAuAgAAZHJz&#10;L2Uyb0RvYy54bWxQSwECLQAUAAYACAAAACEAW19PeeEAAAAMAQAADwAAAAAAAAAAAAAAAAC8BAAA&#10;ZHJzL2Rvd25yZXYueG1sUEsFBgAAAAAEAAQA8wAAAMoFAAAAAA==&#10;" filled="f" stroked="f" strokeweight=".5pt">
                    <v:textbox style="mso-fit-shape-to-text:t" inset="0,0,0,0">
                      <w:txbxContent>
                        <w:p w14:paraId="3B434A9F" w14:textId="5F199BDB" w:rsidR="000C46E6" w:rsidRPr="002A77AD" w:rsidRDefault="0005294D" w:rsidP="000C46E6">
                          <w:pPr>
                            <w:pStyle w:val="Bezmezer"/>
                            <w:spacing w:before="40" w:after="560" w:line="216" w:lineRule="auto"/>
                            <w:rPr>
                              <w:color w:val="005A9B"/>
                              <w:sz w:val="72"/>
                              <w:szCs w:val="72"/>
                            </w:rPr>
                          </w:pPr>
                          <w:sdt>
                            <w:sdtPr>
                              <w:rPr>
                                <w:color w:val="005A9B"/>
                                <w:sz w:val="72"/>
                                <w:szCs w:val="72"/>
                                <w:lang w:val="en-US" w:eastAsia="zh-CN"/>
                              </w:rPr>
                              <w:alias w:val="Název"/>
                              <w:tag w:val=""/>
                              <w:id w:val="151731938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EndPr/>
                            <w:sdtContent>
                              <w:proofErr w:type="spellStart"/>
                              <w:r w:rsidR="000C46E6" w:rsidRPr="000C46E6">
                                <w:rPr>
                                  <w:color w:val="005A9B"/>
                                  <w:sz w:val="72"/>
                                  <w:szCs w:val="72"/>
                                  <w:lang w:val="en-US" w:eastAsia="zh-CN"/>
                                </w:rPr>
                                <w:t>Globální</w:t>
                              </w:r>
                              <w:proofErr w:type="spellEnd"/>
                              <w:r w:rsidR="000C46E6" w:rsidRPr="000C46E6">
                                <w:rPr>
                                  <w:color w:val="005A9B"/>
                                  <w:sz w:val="72"/>
                                  <w:szCs w:val="72"/>
                                  <w:lang w:val="en-US" w:eastAsia="zh-CN"/>
                                </w:rPr>
                                <w:t xml:space="preserve"> </w:t>
                              </w:r>
                              <w:proofErr w:type="spellStart"/>
                              <w:r w:rsidR="000C46E6" w:rsidRPr="000C46E6">
                                <w:rPr>
                                  <w:color w:val="005A9B"/>
                                  <w:sz w:val="72"/>
                                  <w:szCs w:val="72"/>
                                  <w:lang w:val="en-US" w:eastAsia="zh-CN"/>
                                </w:rPr>
                                <w:t>produkční</w:t>
                              </w:r>
                              <w:proofErr w:type="spellEnd"/>
                              <w:r w:rsidR="000C46E6" w:rsidRPr="000C46E6">
                                <w:rPr>
                                  <w:color w:val="005A9B"/>
                                  <w:sz w:val="72"/>
                                  <w:szCs w:val="72"/>
                                  <w:lang w:val="en-US" w:eastAsia="zh-CN"/>
                                </w:rPr>
                                <w:t xml:space="preserve"> </w:t>
                              </w:r>
                              <w:proofErr w:type="spellStart"/>
                              <w:r w:rsidR="000C46E6" w:rsidRPr="000C46E6">
                                <w:rPr>
                                  <w:color w:val="005A9B"/>
                                  <w:sz w:val="72"/>
                                  <w:szCs w:val="72"/>
                                  <w:lang w:val="en-US" w:eastAsia="zh-CN"/>
                                </w:rPr>
                                <w:t>sítě</w:t>
                              </w:r>
                              <w:proofErr w:type="spellEnd"/>
                              <w:r w:rsidR="000C46E6" w:rsidRPr="000C46E6">
                                <w:rPr>
                                  <w:color w:val="005A9B"/>
                                  <w:sz w:val="72"/>
                                  <w:szCs w:val="72"/>
                                  <w:lang w:val="en-US" w:eastAsia="zh-CN"/>
                                </w:rPr>
                                <w:t xml:space="preserve"> </w:t>
                              </w:r>
                              <w:proofErr w:type="spellStart"/>
                              <w:r w:rsidR="000C46E6" w:rsidRPr="000C46E6">
                                <w:rPr>
                                  <w:color w:val="005A9B"/>
                                  <w:sz w:val="72"/>
                                  <w:szCs w:val="72"/>
                                  <w:lang w:val="en-US" w:eastAsia="zh-CN"/>
                                </w:rPr>
                                <w:t>ve</w:t>
                              </w:r>
                              <w:proofErr w:type="spellEnd"/>
                              <w:r w:rsidR="000C46E6" w:rsidRPr="000C46E6">
                                <w:rPr>
                                  <w:color w:val="005A9B"/>
                                  <w:sz w:val="72"/>
                                  <w:szCs w:val="72"/>
                                  <w:lang w:val="en-US" w:eastAsia="zh-CN"/>
                                </w:rPr>
                                <w:t xml:space="preserve"> </w:t>
                              </w:r>
                              <w:proofErr w:type="spellStart"/>
                              <w:r w:rsidR="000C46E6" w:rsidRPr="000C46E6">
                                <w:rPr>
                                  <w:color w:val="005A9B"/>
                                  <w:sz w:val="72"/>
                                  <w:szCs w:val="72"/>
                                  <w:lang w:val="en-US" w:eastAsia="zh-CN"/>
                                </w:rPr>
                                <w:t>vybraných</w:t>
                              </w:r>
                              <w:proofErr w:type="spellEnd"/>
                              <w:r w:rsidR="000C46E6" w:rsidRPr="000C46E6">
                                <w:rPr>
                                  <w:color w:val="005A9B"/>
                                  <w:sz w:val="72"/>
                                  <w:szCs w:val="72"/>
                                  <w:lang w:val="en-US" w:eastAsia="zh-CN"/>
                                </w:rPr>
                                <w:t xml:space="preserve"> </w:t>
                              </w:r>
                              <w:proofErr w:type="spellStart"/>
                              <w:r w:rsidR="000C46E6" w:rsidRPr="000C46E6">
                                <w:rPr>
                                  <w:color w:val="005A9B"/>
                                  <w:sz w:val="72"/>
                                  <w:szCs w:val="72"/>
                                  <w:lang w:val="en-US" w:eastAsia="zh-CN"/>
                                </w:rPr>
                                <w:t>odvětvích</w:t>
                              </w:r>
                              <w:proofErr w:type="spellEnd"/>
                              <w:r w:rsidR="000C46E6" w:rsidRPr="000C46E6">
                                <w:rPr>
                                  <w:color w:val="005A9B"/>
                                  <w:sz w:val="72"/>
                                  <w:szCs w:val="72"/>
                                  <w:lang w:val="en-US" w:eastAsia="zh-CN"/>
                                </w:rPr>
                                <w:t xml:space="preserve"> v </w:t>
                              </w:r>
                              <w:proofErr w:type="spellStart"/>
                              <w:r w:rsidR="000C46E6" w:rsidRPr="000C46E6">
                                <w:rPr>
                                  <w:color w:val="005A9B"/>
                                  <w:sz w:val="72"/>
                                  <w:szCs w:val="72"/>
                                  <w:lang w:val="en-US" w:eastAsia="zh-CN"/>
                                </w:rPr>
                                <w:t>Plzeňském</w:t>
                              </w:r>
                              <w:proofErr w:type="spellEnd"/>
                              <w:r w:rsidR="000C46E6" w:rsidRPr="000C46E6">
                                <w:rPr>
                                  <w:color w:val="005A9B"/>
                                  <w:sz w:val="72"/>
                                  <w:szCs w:val="72"/>
                                  <w:lang w:val="en-US" w:eastAsia="zh-CN"/>
                                </w:rPr>
                                <w:t xml:space="preserve"> </w:t>
                              </w:r>
                              <w:proofErr w:type="spellStart"/>
                              <w:r w:rsidR="000C46E6" w:rsidRPr="000C46E6">
                                <w:rPr>
                                  <w:color w:val="005A9B"/>
                                  <w:sz w:val="72"/>
                                  <w:szCs w:val="72"/>
                                  <w:lang w:val="en-US" w:eastAsia="zh-CN"/>
                                </w:rPr>
                                <w:t>kraji</w:t>
                              </w:r>
                              <w:proofErr w:type="spellEnd"/>
                            </w:sdtContent>
                          </w:sdt>
                        </w:p>
                        <w:p w14:paraId="1F92906D" w14:textId="77777777" w:rsidR="000C46E6" w:rsidRDefault="0005294D" w:rsidP="000C46E6">
                          <w:pPr>
                            <w:pStyle w:val="Nadpis1"/>
                          </w:pPr>
                          <w:sdt>
                            <w:sdtPr>
                              <w:alias w:val="Podtitul"/>
                              <w:tag w:val=""/>
                              <w:id w:val="-2090151685"/>
                              <w:showingPlcHdr/>
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<w:text/>
                            </w:sdtPr>
                            <w:sdtEndPr/>
                            <w:sdtContent>
                              <w:r w:rsidR="000C46E6">
                                <w:t xml:space="preserve">     </w:t>
                              </w:r>
                            </w:sdtContent>
                          </w:sdt>
                        </w:p>
                        <w:p w14:paraId="54BB7732" w14:textId="77777777" w:rsidR="000C46E6" w:rsidRDefault="000C46E6" w:rsidP="000C46E6">
                          <w:pPr>
                            <w:pStyle w:val="Smartnadpis3"/>
                          </w:pPr>
                        </w:p>
                        <w:p w14:paraId="2C6FCBD7" w14:textId="77777777" w:rsidR="000C46E6" w:rsidRDefault="000C46E6" w:rsidP="000C46E6">
                          <w:pPr>
                            <w:pStyle w:val="Smartnadpis3"/>
                          </w:pPr>
                          <w:r>
                            <w:t>Ing. Pavel Beneš</w:t>
                          </w:r>
                        </w:p>
                        <w:p w14:paraId="57EBC27B" w14:textId="77777777" w:rsidR="000C46E6" w:rsidRDefault="000C46E6" w:rsidP="000C46E6">
                          <w:pPr>
                            <w:pStyle w:val="Smartnadpis3"/>
                          </w:pPr>
                          <w:r>
                            <w:t>Mgr. Martina Robotková</w:t>
                          </w:r>
                        </w:p>
                      </w:txbxContent>
                    </v:textbox>
                    <w10:wrap type="square" anchorx="margin" anchory="page"/>
                  </v:shape>
                </w:pict>
              </mc:Fallback>
            </mc:AlternateContent>
          </w:r>
          <w:r w:rsidR="007B70F7">
            <w:rPr>
              <w:rFonts w:ascii="Arial" w:hAnsi="Arial" w:cs="Arial"/>
            </w:rPr>
            <w:br w:type="page"/>
          </w:r>
        </w:p>
        <w:p w14:paraId="768E1239" w14:textId="435E0014" w:rsidR="007B70F7" w:rsidRDefault="007B70F7">
          <w:pPr>
            <w:rPr>
              <w:rFonts w:ascii="Arial" w:hAnsi="Arial" w:cs="Arial"/>
            </w:rPr>
          </w:pPr>
        </w:p>
        <w:p w14:paraId="2F8A7A45" w14:textId="77777777" w:rsidR="002F168C" w:rsidRPr="008F48CB" w:rsidRDefault="002F168C" w:rsidP="002F168C">
          <w:pPr>
            <w:ind w:left="-1417"/>
            <w:jc w:val="center"/>
            <w:rPr>
              <w:rFonts w:ascii="Arial" w:hAnsi="Arial" w:cs="Arial"/>
            </w:rPr>
          </w:pPr>
        </w:p>
        <w:p w14:paraId="706C977F" w14:textId="77777777" w:rsidR="002F168C" w:rsidRDefault="002F168C" w:rsidP="002F168C">
          <w:pPr>
            <w:rPr>
              <w:rFonts w:ascii="Arial" w:hAnsi="Arial" w:cs="Arial"/>
              <w:noProof/>
            </w:rPr>
            <w:sectPr w:rsidR="002F168C" w:rsidSect="00252FFC">
              <w:footerReference w:type="default" r:id="rId14"/>
              <w:pgSz w:w="11906" w:h="16838"/>
              <w:pgMar w:top="0" w:right="1417" w:bottom="1417" w:left="1417" w:header="708" w:footer="708" w:gutter="0"/>
              <w:pgNumType w:start="2"/>
              <w:cols w:space="708"/>
              <w:titlePg/>
              <w:docGrid w:linePitch="360"/>
            </w:sectPr>
          </w:pPr>
        </w:p>
        <w:p w14:paraId="10FCD6D4" w14:textId="77777777" w:rsidR="002F168C" w:rsidRPr="008F48CB" w:rsidRDefault="002F168C" w:rsidP="002F168C">
          <w:pPr>
            <w:jc w:val="center"/>
            <w:rPr>
              <w:rFonts w:ascii="Arial" w:hAnsi="Arial" w:cs="Arial"/>
              <w:b/>
              <w:bCs/>
              <w:sz w:val="44"/>
              <w:szCs w:val="44"/>
            </w:rPr>
          </w:pPr>
        </w:p>
        <w:p w14:paraId="4ECA47E0" w14:textId="77777777" w:rsidR="002F168C" w:rsidRPr="008F48CB" w:rsidRDefault="002F168C" w:rsidP="002F168C">
          <w:pPr>
            <w:jc w:val="center"/>
            <w:rPr>
              <w:rFonts w:ascii="Arial" w:hAnsi="Arial" w:cs="Arial"/>
              <w:b/>
              <w:bCs/>
              <w:sz w:val="44"/>
              <w:szCs w:val="44"/>
            </w:rPr>
          </w:pPr>
        </w:p>
        <w:p w14:paraId="41343371" w14:textId="77777777" w:rsidR="002F168C" w:rsidRPr="008F48CB" w:rsidRDefault="002F168C" w:rsidP="002F168C">
          <w:pPr>
            <w:jc w:val="center"/>
            <w:rPr>
              <w:rFonts w:ascii="Arial" w:hAnsi="Arial" w:cs="Arial"/>
              <w:b/>
              <w:bCs/>
              <w:sz w:val="44"/>
              <w:szCs w:val="44"/>
            </w:rPr>
          </w:pPr>
        </w:p>
        <w:p w14:paraId="29B56B1B" w14:textId="77777777" w:rsidR="002F168C" w:rsidRDefault="002F168C" w:rsidP="002F168C">
          <w:pPr>
            <w:jc w:val="center"/>
            <w:rPr>
              <w:rFonts w:ascii="Arial" w:hAnsi="Arial" w:cs="Arial"/>
              <w:b/>
              <w:bCs/>
              <w:sz w:val="36"/>
              <w:szCs w:val="36"/>
            </w:rPr>
          </w:pPr>
        </w:p>
        <w:p w14:paraId="2FDAAB2C" w14:textId="77777777" w:rsidR="002F168C" w:rsidRPr="008F48CB" w:rsidRDefault="002F168C" w:rsidP="002F168C">
          <w:pPr>
            <w:jc w:val="center"/>
            <w:rPr>
              <w:rFonts w:ascii="Arial" w:hAnsi="Arial" w:cs="Arial"/>
              <w:b/>
              <w:bCs/>
              <w:sz w:val="36"/>
              <w:szCs w:val="36"/>
            </w:rPr>
          </w:pPr>
        </w:p>
        <w:p w14:paraId="72E591F2" w14:textId="65A2E85F" w:rsidR="002F168C" w:rsidRPr="008F48CB" w:rsidRDefault="00FF0D89" w:rsidP="00D81BD3">
          <w:pPr>
            <w:jc w:val="center"/>
            <w:rPr>
              <w:rFonts w:ascii="Arial" w:hAnsi="Arial" w:cs="Arial"/>
              <w:b/>
              <w:sz w:val="32"/>
            </w:rPr>
          </w:pPr>
          <w:r>
            <w:rPr>
              <w:rFonts w:ascii="Arial" w:hAnsi="Arial" w:cs="Arial"/>
              <w:b/>
              <w:bCs/>
              <w:sz w:val="44"/>
              <w:szCs w:val="44"/>
            </w:rPr>
            <w:t>Globální produkční sítě ve vybraných odvětvích</w:t>
          </w:r>
          <w:r w:rsidRPr="00400F49">
            <w:rPr>
              <w:rFonts w:ascii="Arial" w:hAnsi="Arial" w:cs="Arial"/>
              <w:b/>
              <w:bCs/>
              <w:sz w:val="44"/>
              <w:szCs w:val="44"/>
            </w:rPr>
            <w:t xml:space="preserve"> </w:t>
          </w:r>
          <w:r w:rsidR="002F168C" w:rsidRPr="00400F49">
            <w:rPr>
              <w:rFonts w:ascii="Arial" w:hAnsi="Arial" w:cs="Arial"/>
              <w:b/>
              <w:bCs/>
              <w:sz w:val="44"/>
              <w:szCs w:val="44"/>
            </w:rPr>
            <w:t>v</w:t>
          </w:r>
          <w:r w:rsidR="001E5345">
            <w:rPr>
              <w:rFonts w:ascii="Arial" w:hAnsi="Arial" w:cs="Arial"/>
              <w:b/>
              <w:bCs/>
              <w:sz w:val="44"/>
              <w:szCs w:val="44"/>
            </w:rPr>
            <w:t> </w:t>
          </w:r>
          <w:r w:rsidR="002F168C" w:rsidRPr="00400F49">
            <w:rPr>
              <w:rFonts w:ascii="Arial" w:hAnsi="Arial" w:cs="Arial"/>
              <w:b/>
              <w:bCs/>
              <w:sz w:val="44"/>
              <w:szCs w:val="44"/>
            </w:rPr>
            <w:t>Plzeňském kraji</w:t>
          </w:r>
          <w:r>
            <w:rPr>
              <w:rFonts w:ascii="Arial" w:hAnsi="Arial" w:cs="Arial"/>
              <w:b/>
              <w:bCs/>
              <w:sz w:val="44"/>
              <w:szCs w:val="44"/>
            </w:rPr>
            <w:t xml:space="preserve"> </w:t>
          </w:r>
        </w:p>
        <w:p w14:paraId="4A908076" w14:textId="77777777" w:rsidR="006F3B35" w:rsidRDefault="006F3B35" w:rsidP="006F3B35">
          <w:pPr>
            <w:jc w:val="center"/>
            <w:rPr>
              <w:rFonts w:ascii="Arial" w:hAnsi="Arial" w:cs="Arial"/>
              <w:b/>
              <w:sz w:val="32"/>
            </w:rPr>
          </w:pPr>
        </w:p>
        <w:p w14:paraId="2F8233D4" w14:textId="77777777" w:rsidR="00D81BD3" w:rsidRDefault="00D81BD3" w:rsidP="002F168C">
          <w:pPr>
            <w:jc w:val="center"/>
            <w:rPr>
              <w:rFonts w:ascii="Arial" w:hAnsi="Arial" w:cs="Arial"/>
              <w:b/>
              <w:sz w:val="32"/>
            </w:rPr>
          </w:pPr>
        </w:p>
        <w:p w14:paraId="61327AB5" w14:textId="77777777" w:rsidR="002F168C" w:rsidRDefault="002F168C" w:rsidP="002F168C">
          <w:pPr>
            <w:jc w:val="center"/>
            <w:rPr>
              <w:rFonts w:ascii="Arial" w:hAnsi="Arial" w:cs="Arial"/>
              <w:sz w:val="28"/>
            </w:rPr>
          </w:pPr>
        </w:p>
        <w:p w14:paraId="689A5841" w14:textId="77777777" w:rsidR="002F168C" w:rsidRPr="008F48CB" w:rsidRDefault="002F168C" w:rsidP="002F168C">
          <w:pPr>
            <w:jc w:val="center"/>
            <w:rPr>
              <w:rFonts w:ascii="Arial" w:hAnsi="Arial" w:cs="Arial"/>
              <w:sz w:val="28"/>
            </w:rPr>
          </w:pPr>
          <w:r w:rsidRPr="008F48CB">
            <w:rPr>
              <w:rFonts w:ascii="Arial" w:hAnsi="Arial" w:cs="Arial"/>
              <w:sz w:val="28"/>
            </w:rPr>
            <w:t>Ing. Pavel Beneš</w:t>
          </w:r>
        </w:p>
        <w:p w14:paraId="0438A20A" w14:textId="007F45D1" w:rsidR="002F168C" w:rsidRPr="008F48CB" w:rsidRDefault="008C2039" w:rsidP="002F168C">
          <w:pPr>
            <w:jc w:val="center"/>
            <w:rPr>
              <w:rFonts w:ascii="Arial" w:hAnsi="Arial" w:cs="Arial"/>
              <w:sz w:val="28"/>
            </w:rPr>
          </w:pPr>
          <w:r>
            <w:rPr>
              <w:rFonts w:ascii="Arial" w:hAnsi="Arial" w:cs="Arial"/>
              <w:sz w:val="28"/>
            </w:rPr>
            <w:t>Mgr. Martina Robotková</w:t>
          </w:r>
        </w:p>
        <w:p w14:paraId="4889BBE9" w14:textId="77777777" w:rsidR="002F168C" w:rsidRDefault="002F168C" w:rsidP="002F168C">
          <w:pPr>
            <w:jc w:val="center"/>
            <w:rPr>
              <w:rFonts w:ascii="Arial" w:hAnsi="Arial" w:cs="Arial"/>
              <w:sz w:val="28"/>
            </w:rPr>
          </w:pPr>
        </w:p>
        <w:p w14:paraId="3D4850C0" w14:textId="77777777" w:rsidR="002F168C" w:rsidRDefault="002F168C" w:rsidP="002F168C">
          <w:pPr>
            <w:jc w:val="center"/>
            <w:rPr>
              <w:rFonts w:ascii="Arial" w:hAnsi="Arial" w:cs="Arial"/>
              <w:b/>
              <w:sz w:val="32"/>
            </w:rPr>
          </w:pPr>
        </w:p>
        <w:p w14:paraId="30723B36" w14:textId="77777777" w:rsidR="0005294D" w:rsidRDefault="0005294D" w:rsidP="002F168C">
          <w:pPr>
            <w:jc w:val="center"/>
            <w:rPr>
              <w:rFonts w:ascii="Arial" w:hAnsi="Arial" w:cs="Arial"/>
              <w:b/>
              <w:sz w:val="32"/>
            </w:rPr>
          </w:pPr>
        </w:p>
        <w:p w14:paraId="726E9249" w14:textId="77777777" w:rsidR="0005294D" w:rsidRDefault="0005294D" w:rsidP="002F168C">
          <w:pPr>
            <w:jc w:val="center"/>
            <w:rPr>
              <w:rFonts w:ascii="Arial" w:hAnsi="Arial" w:cs="Arial"/>
              <w:b/>
              <w:sz w:val="32"/>
            </w:rPr>
          </w:pPr>
        </w:p>
        <w:p w14:paraId="65D6A267" w14:textId="77777777" w:rsidR="0005294D" w:rsidRDefault="0005294D" w:rsidP="002F168C">
          <w:pPr>
            <w:jc w:val="center"/>
            <w:rPr>
              <w:rFonts w:ascii="Arial" w:hAnsi="Arial" w:cs="Arial"/>
              <w:b/>
              <w:sz w:val="32"/>
            </w:rPr>
          </w:pPr>
        </w:p>
        <w:p w14:paraId="7299F264" w14:textId="77777777" w:rsidR="0005294D" w:rsidRDefault="0005294D" w:rsidP="002F168C">
          <w:pPr>
            <w:jc w:val="center"/>
            <w:rPr>
              <w:rFonts w:ascii="Arial" w:hAnsi="Arial" w:cs="Arial"/>
              <w:b/>
              <w:sz w:val="32"/>
            </w:rPr>
          </w:pPr>
        </w:p>
        <w:p w14:paraId="4D4AF4FF" w14:textId="77777777" w:rsidR="0005294D" w:rsidRPr="008F48CB" w:rsidRDefault="0005294D" w:rsidP="002F168C">
          <w:pPr>
            <w:jc w:val="center"/>
            <w:rPr>
              <w:rFonts w:ascii="Arial" w:hAnsi="Arial" w:cs="Arial"/>
              <w:b/>
              <w:sz w:val="32"/>
            </w:rPr>
          </w:pPr>
        </w:p>
        <w:p w14:paraId="1A4EACBF" w14:textId="77777777" w:rsidR="002F168C" w:rsidRPr="008F48CB" w:rsidRDefault="002F168C" w:rsidP="002F168C">
          <w:pPr>
            <w:jc w:val="center"/>
            <w:rPr>
              <w:rFonts w:ascii="Arial" w:hAnsi="Arial" w:cs="Arial"/>
              <w:b/>
              <w:sz w:val="32"/>
            </w:rPr>
          </w:pPr>
        </w:p>
        <w:p w14:paraId="5745CA71" w14:textId="35B7102C" w:rsidR="002F168C" w:rsidRPr="008F48CB" w:rsidRDefault="00D81BD3" w:rsidP="002F168C">
          <w:pPr>
            <w:jc w:val="center"/>
            <w:rPr>
              <w:rFonts w:ascii="Arial" w:hAnsi="Arial" w:cs="Arial"/>
              <w:b/>
              <w:sz w:val="40"/>
            </w:rPr>
          </w:pPr>
          <w:r>
            <w:rPr>
              <w:rFonts w:ascii="Arial" w:hAnsi="Arial" w:cs="Arial"/>
              <w:sz w:val="28"/>
            </w:rPr>
            <w:t>Prosinec</w:t>
          </w:r>
          <w:r w:rsidR="002F168C">
            <w:rPr>
              <w:rFonts w:ascii="Arial" w:hAnsi="Arial" w:cs="Arial"/>
              <w:sz w:val="28"/>
            </w:rPr>
            <w:t xml:space="preserve"> 2024</w:t>
          </w:r>
        </w:p>
        <w:p w14:paraId="2B742D97" w14:textId="77777777" w:rsidR="002F168C" w:rsidRPr="008F48CB" w:rsidRDefault="002F168C" w:rsidP="002F168C">
          <w:pPr>
            <w:jc w:val="center"/>
            <w:rPr>
              <w:rFonts w:ascii="Arial" w:hAnsi="Arial" w:cs="Arial"/>
              <w:b/>
              <w:sz w:val="32"/>
            </w:rPr>
          </w:pPr>
        </w:p>
        <w:p w14:paraId="2305B9D9" w14:textId="77777777" w:rsidR="002F168C" w:rsidRPr="008F48CB" w:rsidRDefault="002F168C" w:rsidP="002F168C">
          <w:pPr>
            <w:jc w:val="center"/>
            <w:rPr>
              <w:rFonts w:ascii="Arial" w:hAnsi="Arial" w:cs="Arial"/>
              <w:b/>
              <w:sz w:val="32"/>
            </w:rPr>
          </w:pPr>
          <w:r w:rsidRPr="008F48CB">
            <w:rPr>
              <w:rFonts w:ascii="Arial" w:hAnsi="Arial" w:cs="Arial"/>
              <w:noProof/>
              <w:lang w:eastAsia="cs-CZ"/>
            </w:rPr>
            <w:drawing>
              <wp:inline distT="0" distB="0" distL="0" distR="0" wp14:anchorId="1AE96F14" wp14:editId="08572058">
                <wp:extent cx="742950" cy="495300"/>
                <wp:effectExtent l="0" t="0" r="0" b="0"/>
                <wp:docPr id="302292606" name="Obrázek 2" descr="RRA_200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11022336" name="Picture 1" descr="RRA_200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5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2950" cy="49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2DB771F4" w14:textId="77777777" w:rsidR="002F168C" w:rsidRDefault="002F168C" w:rsidP="002F168C">
          <w:pPr>
            <w:jc w:val="center"/>
            <w:rPr>
              <w:rFonts w:ascii="Arial" w:hAnsi="Arial" w:cs="Arial"/>
              <w:sz w:val="28"/>
              <w:szCs w:val="30"/>
            </w:rPr>
          </w:pPr>
          <w:r w:rsidRPr="008F48CB">
            <w:rPr>
              <w:rFonts w:ascii="Arial" w:hAnsi="Arial" w:cs="Arial"/>
              <w:sz w:val="28"/>
              <w:szCs w:val="30"/>
            </w:rPr>
            <w:t>Regionální rozvojová agentura Plzeňského kraje, o. p. s.</w:t>
          </w:r>
        </w:p>
        <w:p w14:paraId="719B795A" w14:textId="77777777" w:rsidR="002F168C" w:rsidRPr="008F48CB" w:rsidRDefault="002F168C" w:rsidP="002F168C">
          <w:pPr>
            <w:jc w:val="center"/>
            <w:rPr>
              <w:rFonts w:ascii="Arial" w:hAnsi="Arial" w:cs="Arial"/>
              <w:sz w:val="20"/>
            </w:rPr>
            <w:sectPr w:rsidR="002F168C" w:rsidRPr="008F48CB" w:rsidSect="002F168C">
              <w:type w:val="continuous"/>
              <w:pgSz w:w="11906" w:h="16838"/>
              <w:pgMar w:top="1417" w:right="1417" w:bottom="1417" w:left="1417" w:header="708" w:footer="708" w:gutter="0"/>
              <w:pgNumType w:start="0"/>
              <w:cols w:space="708"/>
              <w:titlePg/>
              <w:docGrid w:linePitch="360"/>
            </w:sectPr>
          </w:pPr>
        </w:p>
        <w:p w14:paraId="748B581F" w14:textId="77777777" w:rsidR="002F168C" w:rsidRPr="00365237" w:rsidRDefault="0086466C" w:rsidP="002F168C">
          <w:pPr>
            <w:spacing w:after="0" w:line="240" w:lineRule="auto"/>
            <w:rPr>
              <w:rFonts w:ascii="Arial" w:hAnsi="Arial" w:cs="Arial"/>
              <w:noProof/>
              <w:sz w:val="2"/>
            </w:rPr>
          </w:pPr>
        </w:p>
      </w:sdtContent>
    </w:sdt>
    <w:sdt>
      <w:sdtPr>
        <w:rPr>
          <w:rFonts w:ascii="Arial" w:eastAsiaTheme="minorHAnsi" w:hAnsi="Arial" w:cs="Arial"/>
          <w:color w:val="auto"/>
          <w:kern w:val="2"/>
          <w:sz w:val="22"/>
          <w:szCs w:val="22"/>
          <w:u w:val="single"/>
          <w:lang w:eastAsia="en-US"/>
          <w14:ligatures w14:val="standardContextual"/>
        </w:rPr>
        <w:id w:val="1636211139"/>
        <w:docPartObj>
          <w:docPartGallery w:val="Table of Contents"/>
          <w:docPartUnique/>
        </w:docPartObj>
      </w:sdtPr>
      <w:sdtEndPr>
        <w:rPr>
          <w:rFonts w:asciiTheme="minorHAnsi" w:hAnsiTheme="minorHAnsi" w:cstheme="minorBidi"/>
          <w:b/>
          <w:bCs/>
          <w:u w:val="none"/>
        </w:rPr>
      </w:sdtEndPr>
      <w:sdtContent>
        <w:p w14:paraId="20C082CB" w14:textId="77777777" w:rsidR="002F168C" w:rsidRPr="008C5C2B" w:rsidRDefault="002F168C" w:rsidP="002F168C">
          <w:pPr>
            <w:pStyle w:val="Nadpisobsahu"/>
            <w:spacing w:before="120" w:after="120"/>
            <w:rPr>
              <w:rFonts w:ascii="Arial" w:hAnsi="Arial" w:cs="Arial"/>
              <w:color w:val="auto"/>
              <w:sz w:val="22"/>
              <w:szCs w:val="22"/>
              <w:u w:val="single"/>
            </w:rPr>
          </w:pPr>
          <w:r w:rsidRPr="008C5C2B">
            <w:rPr>
              <w:rFonts w:ascii="Arial" w:hAnsi="Arial" w:cs="Arial"/>
              <w:color w:val="auto"/>
              <w:sz w:val="22"/>
              <w:szCs w:val="22"/>
              <w:u w:val="single"/>
            </w:rPr>
            <w:t>Obsah</w:t>
          </w:r>
        </w:p>
        <w:p w14:paraId="7A63C5FB" w14:textId="63365DA5" w:rsidR="008C5C2B" w:rsidRPr="008C5C2B" w:rsidRDefault="002F168C">
          <w:pPr>
            <w:pStyle w:val="Obsah1"/>
            <w:rPr>
              <w:rFonts w:ascii="Arial" w:eastAsiaTheme="minorEastAsia" w:hAnsi="Arial" w:cs="Arial"/>
              <w:noProof/>
              <w:sz w:val="24"/>
              <w:szCs w:val="24"/>
              <w:lang w:eastAsia="cs-CZ"/>
            </w:rPr>
          </w:pPr>
          <w:r w:rsidRPr="008C5C2B">
            <w:rPr>
              <w:rFonts w:ascii="Arial" w:hAnsi="Arial" w:cs="Arial"/>
            </w:rPr>
            <w:fldChar w:fldCharType="begin"/>
          </w:r>
          <w:r w:rsidRPr="008C5C2B">
            <w:rPr>
              <w:rFonts w:ascii="Arial" w:hAnsi="Arial" w:cs="Arial"/>
            </w:rPr>
            <w:instrText xml:space="preserve"> TOC \o "1-3" \h \z \u </w:instrText>
          </w:r>
          <w:r w:rsidRPr="008C5C2B">
            <w:rPr>
              <w:rFonts w:ascii="Arial" w:hAnsi="Arial" w:cs="Arial"/>
            </w:rPr>
            <w:fldChar w:fldCharType="separate"/>
          </w:r>
          <w:hyperlink w:anchor="_Toc184799878" w:history="1">
            <w:r w:rsidR="008C5C2B" w:rsidRPr="008C5C2B">
              <w:rPr>
                <w:rStyle w:val="Hypertextovodkaz"/>
                <w:rFonts w:ascii="Arial" w:hAnsi="Arial" w:cs="Arial"/>
                <w:noProof/>
              </w:rPr>
              <w:t>Úvod</w:t>
            </w:r>
            <w:r w:rsidR="008C5C2B" w:rsidRPr="008C5C2B">
              <w:rPr>
                <w:rFonts w:ascii="Arial" w:hAnsi="Arial" w:cs="Arial"/>
                <w:noProof/>
                <w:webHidden/>
              </w:rPr>
              <w:tab/>
            </w:r>
            <w:r w:rsidR="008C5C2B" w:rsidRPr="008C5C2B">
              <w:rPr>
                <w:rFonts w:ascii="Arial" w:hAnsi="Arial" w:cs="Arial"/>
                <w:noProof/>
                <w:webHidden/>
              </w:rPr>
              <w:fldChar w:fldCharType="begin"/>
            </w:r>
            <w:r w:rsidR="008C5C2B" w:rsidRPr="008C5C2B">
              <w:rPr>
                <w:rFonts w:ascii="Arial" w:hAnsi="Arial" w:cs="Arial"/>
                <w:noProof/>
                <w:webHidden/>
              </w:rPr>
              <w:instrText xml:space="preserve"> PAGEREF _Toc184799878 \h </w:instrText>
            </w:r>
            <w:r w:rsidR="008C5C2B" w:rsidRPr="008C5C2B">
              <w:rPr>
                <w:rFonts w:ascii="Arial" w:hAnsi="Arial" w:cs="Arial"/>
                <w:noProof/>
                <w:webHidden/>
              </w:rPr>
            </w:r>
            <w:r w:rsidR="008C5C2B" w:rsidRPr="008C5C2B">
              <w:rPr>
                <w:rFonts w:ascii="Arial" w:hAnsi="Arial" w:cs="Arial"/>
                <w:noProof/>
                <w:webHidden/>
              </w:rPr>
              <w:fldChar w:fldCharType="separate"/>
            </w:r>
            <w:r w:rsidR="008C5C2B" w:rsidRPr="008C5C2B">
              <w:rPr>
                <w:rFonts w:ascii="Arial" w:hAnsi="Arial" w:cs="Arial"/>
                <w:noProof/>
                <w:webHidden/>
              </w:rPr>
              <w:t>2</w:t>
            </w:r>
            <w:r w:rsidR="008C5C2B" w:rsidRPr="008C5C2B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60AF1B34" w14:textId="19B87A08" w:rsidR="008C5C2B" w:rsidRPr="008C5C2B" w:rsidRDefault="008C5C2B">
          <w:pPr>
            <w:pStyle w:val="Obsah1"/>
            <w:rPr>
              <w:rFonts w:ascii="Arial" w:eastAsiaTheme="minorEastAsia" w:hAnsi="Arial" w:cs="Arial"/>
              <w:noProof/>
              <w:sz w:val="24"/>
              <w:szCs w:val="24"/>
              <w:lang w:eastAsia="cs-CZ"/>
            </w:rPr>
          </w:pPr>
          <w:hyperlink w:anchor="_Toc184799879" w:history="1">
            <w:r w:rsidRPr="008C5C2B">
              <w:rPr>
                <w:rStyle w:val="Hypertextovodkaz"/>
                <w:rFonts w:ascii="Arial" w:hAnsi="Arial" w:cs="Arial"/>
                <w:noProof/>
              </w:rPr>
              <w:t>1.</w:t>
            </w:r>
            <w:r w:rsidRPr="008C5C2B">
              <w:rPr>
                <w:rFonts w:ascii="Arial" w:eastAsiaTheme="minorEastAsia" w:hAnsi="Arial" w:cs="Arial"/>
                <w:noProof/>
                <w:sz w:val="24"/>
                <w:szCs w:val="24"/>
                <w:lang w:eastAsia="cs-CZ"/>
              </w:rPr>
              <w:tab/>
            </w:r>
            <w:r w:rsidRPr="008C5C2B">
              <w:rPr>
                <w:rStyle w:val="Hypertextovodkaz"/>
                <w:rFonts w:ascii="Arial" w:hAnsi="Arial" w:cs="Arial"/>
                <w:noProof/>
              </w:rPr>
              <w:t>Hodnocení globálních produkčních sítí (GPN)</w:t>
            </w:r>
            <w:r w:rsidRPr="008C5C2B">
              <w:rPr>
                <w:rFonts w:ascii="Arial" w:hAnsi="Arial" w:cs="Arial"/>
                <w:noProof/>
                <w:webHidden/>
              </w:rPr>
              <w:tab/>
            </w:r>
            <w:r w:rsidRPr="008C5C2B">
              <w:rPr>
                <w:rFonts w:ascii="Arial" w:hAnsi="Arial" w:cs="Arial"/>
                <w:noProof/>
                <w:webHidden/>
              </w:rPr>
              <w:fldChar w:fldCharType="begin"/>
            </w:r>
            <w:r w:rsidRPr="008C5C2B">
              <w:rPr>
                <w:rFonts w:ascii="Arial" w:hAnsi="Arial" w:cs="Arial"/>
                <w:noProof/>
                <w:webHidden/>
              </w:rPr>
              <w:instrText xml:space="preserve"> PAGEREF _Toc184799879 \h </w:instrText>
            </w:r>
            <w:r w:rsidRPr="008C5C2B">
              <w:rPr>
                <w:rFonts w:ascii="Arial" w:hAnsi="Arial" w:cs="Arial"/>
                <w:noProof/>
                <w:webHidden/>
              </w:rPr>
            </w:r>
            <w:r w:rsidRPr="008C5C2B">
              <w:rPr>
                <w:rFonts w:ascii="Arial" w:hAnsi="Arial" w:cs="Arial"/>
                <w:noProof/>
                <w:webHidden/>
              </w:rPr>
              <w:fldChar w:fldCharType="separate"/>
            </w:r>
            <w:r w:rsidRPr="008C5C2B">
              <w:rPr>
                <w:rFonts w:ascii="Arial" w:hAnsi="Arial" w:cs="Arial"/>
                <w:noProof/>
                <w:webHidden/>
              </w:rPr>
              <w:t>3</w:t>
            </w:r>
            <w:r w:rsidRPr="008C5C2B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38B37ED2" w14:textId="4F79D354" w:rsidR="008C5C2B" w:rsidRPr="008C5C2B" w:rsidRDefault="008C5C2B">
          <w:pPr>
            <w:pStyle w:val="Obsah3"/>
            <w:tabs>
              <w:tab w:val="left" w:pos="1200"/>
              <w:tab w:val="right" w:leader="dot" w:pos="9062"/>
            </w:tabs>
            <w:rPr>
              <w:rFonts w:ascii="Arial" w:eastAsiaTheme="minorEastAsia" w:hAnsi="Arial" w:cs="Arial"/>
              <w:noProof/>
              <w:sz w:val="24"/>
              <w:szCs w:val="24"/>
              <w:lang w:eastAsia="cs-CZ"/>
            </w:rPr>
          </w:pPr>
          <w:hyperlink w:anchor="_Toc184799880" w:history="1">
            <w:r w:rsidRPr="008C5C2B">
              <w:rPr>
                <w:rStyle w:val="Hypertextovodkaz"/>
                <w:rFonts w:ascii="Arial" w:hAnsi="Arial" w:cs="Arial"/>
                <w:noProof/>
              </w:rPr>
              <w:t>1.1.</w:t>
            </w:r>
            <w:r w:rsidRPr="008C5C2B">
              <w:rPr>
                <w:rFonts w:ascii="Arial" w:eastAsiaTheme="minorEastAsia" w:hAnsi="Arial" w:cs="Arial"/>
                <w:noProof/>
                <w:sz w:val="24"/>
                <w:szCs w:val="24"/>
                <w:lang w:eastAsia="cs-CZ"/>
              </w:rPr>
              <w:tab/>
            </w:r>
            <w:r w:rsidRPr="008C5C2B">
              <w:rPr>
                <w:rStyle w:val="Hypertextovodkaz"/>
                <w:rFonts w:ascii="Arial" w:hAnsi="Arial" w:cs="Arial"/>
                <w:noProof/>
              </w:rPr>
              <w:t>Definice globálních produkčních sítí</w:t>
            </w:r>
            <w:r w:rsidRPr="008C5C2B">
              <w:rPr>
                <w:rFonts w:ascii="Arial" w:hAnsi="Arial" w:cs="Arial"/>
                <w:noProof/>
                <w:webHidden/>
              </w:rPr>
              <w:tab/>
            </w:r>
            <w:r w:rsidRPr="008C5C2B">
              <w:rPr>
                <w:rFonts w:ascii="Arial" w:hAnsi="Arial" w:cs="Arial"/>
                <w:noProof/>
                <w:webHidden/>
              </w:rPr>
              <w:fldChar w:fldCharType="begin"/>
            </w:r>
            <w:r w:rsidRPr="008C5C2B">
              <w:rPr>
                <w:rFonts w:ascii="Arial" w:hAnsi="Arial" w:cs="Arial"/>
                <w:noProof/>
                <w:webHidden/>
              </w:rPr>
              <w:instrText xml:space="preserve"> PAGEREF _Toc184799880 \h </w:instrText>
            </w:r>
            <w:r w:rsidRPr="008C5C2B">
              <w:rPr>
                <w:rFonts w:ascii="Arial" w:hAnsi="Arial" w:cs="Arial"/>
                <w:noProof/>
                <w:webHidden/>
              </w:rPr>
            </w:r>
            <w:r w:rsidRPr="008C5C2B">
              <w:rPr>
                <w:rFonts w:ascii="Arial" w:hAnsi="Arial" w:cs="Arial"/>
                <w:noProof/>
                <w:webHidden/>
              </w:rPr>
              <w:fldChar w:fldCharType="separate"/>
            </w:r>
            <w:r w:rsidRPr="008C5C2B">
              <w:rPr>
                <w:rFonts w:ascii="Arial" w:hAnsi="Arial" w:cs="Arial"/>
                <w:noProof/>
                <w:webHidden/>
              </w:rPr>
              <w:t>3</w:t>
            </w:r>
            <w:r w:rsidRPr="008C5C2B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59150B77" w14:textId="26EB14AB" w:rsidR="008C5C2B" w:rsidRPr="008C5C2B" w:rsidRDefault="008C5C2B">
          <w:pPr>
            <w:pStyle w:val="Obsah3"/>
            <w:tabs>
              <w:tab w:val="left" w:pos="1200"/>
              <w:tab w:val="right" w:leader="dot" w:pos="9062"/>
            </w:tabs>
            <w:rPr>
              <w:rFonts w:ascii="Arial" w:eastAsiaTheme="minorEastAsia" w:hAnsi="Arial" w:cs="Arial"/>
              <w:noProof/>
              <w:sz w:val="24"/>
              <w:szCs w:val="24"/>
              <w:lang w:eastAsia="cs-CZ"/>
            </w:rPr>
          </w:pPr>
          <w:hyperlink w:anchor="_Toc184799881" w:history="1">
            <w:r w:rsidRPr="008C5C2B">
              <w:rPr>
                <w:rStyle w:val="Hypertextovodkaz"/>
                <w:rFonts w:ascii="Arial" w:hAnsi="Arial" w:cs="Arial"/>
                <w:noProof/>
              </w:rPr>
              <w:t>1.2.</w:t>
            </w:r>
            <w:r w:rsidRPr="008C5C2B">
              <w:rPr>
                <w:rFonts w:ascii="Arial" w:eastAsiaTheme="minorEastAsia" w:hAnsi="Arial" w:cs="Arial"/>
                <w:noProof/>
                <w:sz w:val="24"/>
                <w:szCs w:val="24"/>
                <w:lang w:eastAsia="cs-CZ"/>
              </w:rPr>
              <w:tab/>
            </w:r>
            <w:r w:rsidRPr="008C5C2B">
              <w:rPr>
                <w:rStyle w:val="Hypertextovodkaz"/>
                <w:rFonts w:ascii="Arial" w:hAnsi="Arial" w:cs="Arial"/>
                <w:noProof/>
              </w:rPr>
              <w:t>Hodnocení postavení vybraných subjektů v Plzeňském kraji v GPN</w:t>
            </w:r>
            <w:r w:rsidRPr="008C5C2B">
              <w:rPr>
                <w:rFonts w:ascii="Arial" w:hAnsi="Arial" w:cs="Arial"/>
                <w:noProof/>
                <w:webHidden/>
              </w:rPr>
              <w:tab/>
            </w:r>
            <w:r w:rsidRPr="008C5C2B">
              <w:rPr>
                <w:rFonts w:ascii="Arial" w:hAnsi="Arial" w:cs="Arial"/>
                <w:noProof/>
                <w:webHidden/>
              </w:rPr>
              <w:fldChar w:fldCharType="begin"/>
            </w:r>
            <w:r w:rsidRPr="008C5C2B">
              <w:rPr>
                <w:rFonts w:ascii="Arial" w:hAnsi="Arial" w:cs="Arial"/>
                <w:noProof/>
                <w:webHidden/>
              </w:rPr>
              <w:instrText xml:space="preserve"> PAGEREF _Toc184799881 \h </w:instrText>
            </w:r>
            <w:r w:rsidRPr="008C5C2B">
              <w:rPr>
                <w:rFonts w:ascii="Arial" w:hAnsi="Arial" w:cs="Arial"/>
                <w:noProof/>
                <w:webHidden/>
              </w:rPr>
            </w:r>
            <w:r w:rsidRPr="008C5C2B">
              <w:rPr>
                <w:rFonts w:ascii="Arial" w:hAnsi="Arial" w:cs="Arial"/>
                <w:noProof/>
                <w:webHidden/>
              </w:rPr>
              <w:fldChar w:fldCharType="separate"/>
            </w:r>
            <w:r w:rsidRPr="008C5C2B">
              <w:rPr>
                <w:rFonts w:ascii="Arial" w:hAnsi="Arial" w:cs="Arial"/>
                <w:noProof/>
                <w:webHidden/>
              </w:rPr>
              <w:t>6</w:t>
            </w:r>
            <w:r w:rsidRPr="008C5C2B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1765B185" w14:textId="7FB6A990" w:rsidR="008C5C2B" w:rsidRPr="008C5C2B" w:rsidRDefault="008C5C2B">
          <w:pPr>
            <w:pStyle w:val="Obsah1"/>
            <w:rPr>
              <w:rFonts w:ascii="Arial" w:eastAsiaTheme="minorEastAsia" w:hAnsi="Arial" w:cs="Arial"/>
              <w:noProof/>
              <w:sz w:val="24"/>
              <w:szCs w:val="24"/>
              <w:lang w:eastAsia="cs-CZ"/>
            </w:rPr>
          </w:pPr>
          <w:hyperlink w:anchor="_Toc184799882" w:history="1">
            <w:r w:rsidRPr="008C5C2B">
              <w:rPr>
                <w:rStyle w:val="Hypertextovodkaz"/>
                <w:rFonts w:ascii="Arial" w:hAnsi="Arial" w:cs="Arial"/>
                <w:noProof/>
              </w:rPr>
              <w:t>2.</w:t>
            </w:r>
            <w:r w:rsidRPr="008C5C2B">
              <w:rPr>
                <w:rFonts w:ascii="Arial" w:eastAsiaTheme="minorEastAsia" w:hAnsi="Arial" w:cs="Arial"/>
                <w:noProof/>
                <w:sz w:val="24"/>
                <w:szCs w:val="24"/>
                <w:lang w:eastAsia="cs-CZ"/>
              </w:rPr>
              <w:tab/>
            </w:r>
            <w:r w:rsidRPr="008C5C2B">
              <w:rPr>
                <w:rStyle w:val="Hypertextovodkaz"/>
                <w:rFonts w:ascii="Arial" w:hAnsi="Arial" w:cs="Arial"/>
                <w:noProof/>
              </w:rPr>
              <w:t>Ekonomická charakteristika vybraných subjektů v Plzeňském kraji</w:t>
            </w:r>
            <w:r w:rsidRPr="008C5C2B">
              <w:rPr>
                <w:rFonts w:ascii="Arial" w:hAnsi="Arial" w:cs="Arial"/>
                <w:noProof/>
                <w:webHidden/>
              </w:rPr>
              <w:tab/>
            </w:r>
            <w:r w:rsidRPr="008C5C2B">
              <w:rPr>
                <w:rFonts w:ascii="Arial" w:hAnsi="Arial" w:cs="Arial"/>
                <w:noProof/>
                <w:webHidden/>
              </w:rPr>
              <w:fldChar w:fldCharType="begin"/>
            </w:r>
            <w:r w:rsidRPr="008C5C2B">
              <w:rPr>
                <w:rFonts w:ascii="Arial" w:hAnsi="Arial" w:cs="Arial"/>
                <w:noProof/>
                <w:webHidden/>
              </w:rPr>
              <w:instrText xml:space="preserve"> PAGEREF _Toc184799882 \h </w:instrText>
            </w:r>
            <w:r w:rsidRPr="008C5C2B">
              <w:rPr>
                <w:rFonts w:ascii="Arial" w:hAnsi="Arial" w:cs="Arial"/>
                <w:noProof/>
                <w:webHidden/>
              </w:rPr>
            </w:r>
            <w:r w:rsidRPr="008C5C2B">
              <w:rPr>
                <w:rFonts w:ascii="Arial" w:hAnsi="Arial" w:cs="Arial"/>
                <w:noProof/>
                <w:webHidden/>
              </w:rPr>
              <w:fldChar w:fldCharType="separate"/>
            </w:r>
            <w:r w:rsidRPr="008C5C2B">
              <w:rPr>
                <w:rFonts w:ascii="Arial" w:hAnsi="Arial" w:cs="Arial"/>
                <w:noProof/>
                <w:webHidden/>
              </w:rPr>
              <w:t>11</w:t>
            </w:r>
            <w:r w:rsidRPr="008C5C2B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3357F443" w14:textId="3C986F4A" w:rsidR="008C5C2B" w:rsidRPr="008C5C2B" w:rsidRDefault="008C5C2B">
          <w:pPr>
            <w:pStyle w:val="Obsah3"/>
            <w:tabs>
              <w:tab w:val="left" w:pos="1200"/>
              <w:tab w:val="right" w:leader="dot" w:pos="9062"/>
            </w:tabs>
            <w:rPr>
              <w:rFonts w:ascii="Arial" w:eastAsiaTheme="minorEastAsia" w:hAnsi="Arial" w:cs="Arial"/>
              <w:noProof/>
              <w:sz w:val="24"/>
              <w:szCs w:val="24"/>
              <w:lang w:eastAsia="cs-CZ"/>
            </w:rPr>
          </w:pPr>
          <w:hyperlink w:anchor="_Toc184799883" w:history="1">
            <w:r w:rsidRPr="008C5C2B">
              <w:rPr>
                <w:rStyle w:val="Hypertextovodkaz"/>
                <w:rFonts w:ascii="Arial" w:hAnsi="Arial" w:cs="Arial"/>
                <w:noProof/>
              </w:rPr>
              <w:t>2.1.</w:t>
            </w:r>
            <w:r w:rsidRPr="008C5C2B">
              <w:rPr>
                <w:rFonts w:ascii="Arial" w:eastAsiaTheme="minorEastAsia" w:hAnsi="Arial" w:cs="Arial"/>
                <w:noProof/>
                <w:sz w:val="24"/>
                <w:szCs w:val="24"/>
                <w:lang w:eastAsia="cs-CZ"/>
              </w:rPr>
              <w:tab/>
            </w:r>
            <w:r w:rsidRPr="008C5C2B">
              <w:rPr>
                <w:rStyle w:val="Hypertextovodkaz"/>
                <w:rFonts w:ascii="Arial" w:hAnsi="Arial" w:cs="Arial"/>
                <w:noProof/>
              </w:rPr>
              <w:t>Hodnocení vybraných subjektů podle kvantitativních ekonomických charakteristik</w:t>
            </w:r>
            <w:r w:rsidRPr="008C5C2B">
              <w:rPr>
                <w:rFonts w:ascii="Arial" w:hAnsi="Arial" w:cs="Arial"/>
                <w:noProof/>
                <w:webHidden/>
              </w:rPr>
              <w:tab/>
            </w:r>
            <w:r w:rsidRPr="008C5C2B">
              <w:rPr>
                <w:rFonts w:ascii="Arial" w:hAnsi="Arial" w:cs="Arial"/>
                <w:noProof/>
                <w:webHidden/>
              </w:rPr>
              <w:fldChar w:fldCharType="begin"/>
            </w:r>
            <w:r w:rsidRPr="008C5C2B">
              <w:rPr>
                <w:rFonts w:ascii="Arial" w:hAnsi="Arial" w:cs="Arial"/>
                <w:noProof/>
                <w:webHidden/>
              </w:rPr>
              <w:instrText xml:space="preserve"> PAGEREF _Toc184799883 \h </w:instrText>
            </w:r>
            <w:r w:rsidRPr="008C5C2B">
              <w:rPr>
                <w:rFonts w:ascii="Arial" w:hAnsi="Arial" w:cs="Arial"/>
                <w:noProof/>
                <w:webHidden/>
              </w:rPr>
            </w:r>
            <w:r w:rsidRPr="008C5C2B">
              <w:rPr>
                <w:rFonts w:ascii="Arial" w:hAnsi="Arial" w:cs="Arial"/>
                <w:noProof/>
                <w:webHidden/>
              </w:rPr>
              <w:fldChar w:fldCharType="separate"/>
            </w:r>
            <w:r w:rsidRPr="008C5C2B">
              <w:rPr>
                <w:rFonts w:ascii="Arial" w:hAnsi="Arial" w:cs="Arial"/>
                <w:noProof/>
                <w:webHidden/>
              </w:rPr>
              <w:t>11</w:t>
            </w:r>
            <w:r w:rsidRPr="008C5C2B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504289FA" w14:textId="58353DE6" w:rsidR="008C5C2B" w:rsidRPr="008C5C2B" w:rsidRDefault="008C5C2B">
          <w:pPr>
            <w:pStyle w:val="Obsah3"/>
            <w:tabs>
              <w:tab w:val="left" w:pos="1200"/>
              <w:tab w:val="right" w:leader="dot" w:pos="9062"/>
            </w:tabs>
            <w:rPr>
              <w:rFonts w:ascii="Arial" w:eastAsiaTheme="minorEastAsia" w:hAnsi="Arial" w:cs="Arial"/>
              <w:noProof/>
              <w:sz w:val="24"/>
              <w:szCs w:val="24"/>
              <w:lang w:eastAsia="cs-CZ"/>
            </w:rPr>
          </w:pPr>
          <w:hyperlink w:anchor="_Toc184799884" w:history="1">
            <w:r w:rsidRPr="008C5C2B">
              <w:rPr>
                <w:rStyle w:val="Hypertextovodkaz"/>
                <w:rFonts w:ascii="Arial" w:hAnsi="Arial" w:cs="Arial"/>
                <w:noProof/>
              </w:rPr>
              <w:t>2.2.</w:t>
            </w:r>
            <w:r w:rsidRPr="008C5C2B">
              <w:rPr>
                <w:rFonts w:ascii="Arial" w:eastAsiaTheme="minorEastAsia" w:hAnsi="Arial" w:cs="Arial"/>
                <w:noProof/>
                <w:sz w:val="24"/>
                <w:szCs w:val="24"/>
                <w:lang w:eastAsia="cs-CZ"/>
              </w:rPr>
              <w:tab/>
            </w:r>
            <w:r w:rsidRPr="008C5C2B">
              <w:rPr>
                <w:rStyle w:val="Hypertextovodkaz"/>
                <w:rFonts w:ascii="Arial" w:hAnsi="Arial" w:cs="Arial"/>
                <w:noProof/>
              </w:rPr>
              <w:t>Hodnocení ekonomických subjektů podle kvalitativních charakteristik</w:t>
            </w:r>
            <w:r w:rsidRPr="008C5C2B">
              <w:rPr>
                <w:rFonts w:ascii="Arial" w:hAnsi="Arial" w:cs="Arial"/>
                <w:noProof/>
                <w:webHidden/>
              </w:rPr>
              <w:tab/>
            </w:r>
            <w:r w:rsidRPr="008C5C2B">
              <w:rPr>
                <w:rFonts w:ascii="Arial" w:hAnsi="Arial" w:cs="Arial"/>
                <w:noProof/>
                <w:webHidden/>
              </w:rPr>
              <w:fldChar w:fldCharType="begin"/>
            </w:r>
            <w:r w:rsidRPr="008C5C2B">
              <w:rPr>
                <w:rFonts w:ascii="Arial" w:hAnsi="Arial" w:cs="Arial"/>
                <w:noProof/>
                <w:webHidden/>
              </w:rPr>
              <w:instrText xml:space="preserve"> PAGEREF _Toc184799884 \h </w:instrText>
            </w:r>
            <w:r w:rsidRPr="008C5C2B">
              <w:rPr>
                <w:rFonts w:ascii="Arial" w:hAnsi="Arial" w:cs="Arial"/>
                <w:noProof/>
                <w:webHidden/>
              </w:rPr>
            </w:r>
            <w:r w:rsidRPr="008C5C2B">
              <w:rPr>
                <w:rFonts w:ascii="Arial" w:hAnsi="Arial" w:cs="Arial"/>
                <w:noProof/>
                <w:webHidden/>
              </w:rPr>
              <w:fldChar w:fldCharType="separate"/>
            </w:r>
            <w:r w:rsidRPr="008C5C2B">
              <w:rPr>
                <w:rFonts w:ascii="Arial" w:hAnsi="Arial" w:cs="Arial"/>
                <w:noProof/>
                <w:webHidden/>
              </w:rPr>
              <w:t>16</w:t>
            </w:r>
            <w:r w:rsidRPr="008C5C2B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23B41B48" w14:textId="26EE8AEE" w:rsidR="008C5C2B" w:rsidRPr="008C5C2B" w:rsidRDefault="008C5C2B">
          <w:pPr>
            <w:pStyle w:val="Obsah1"/>
            <w:rPr>
              <w:rFonts w:ascii="Arial" w:eastAsiaTheme="minorEastAsia" w:hAnsi="Arial" w:cs="Arial"/>
              <w:noProof/>
              <w:sz w:val="24"/>
              <w:szCs w:val="24"/>
              <w:lang w:eastAsia="cs-CZ"/>
            </w:rPr>
          </w:pPr>
          <w:hyperlink w:anchor="_Toc184799885" w:history="1">
            <w:r w:rsidRPr="008C5C2B">
              <w:rPr>
                <w:rStyle w:val="Hypertextovodkaz"/>
                <w:rFonts w:ascii="Arial" w:hAnsi="Arial" w:cs="Arial"/>
                <w:noProof/>
              </w:rPr>
              <w:t>3.</w:t>
            </w:r>
            <w:r w:rsidRPr="008C5C2B">
              <w:rPr>
                <w:rFonts w:ascii="Arial" w:eastAsiaTheme="minorEastAsia" w:hAnsi="Arial" w:cs="Arial"/>
                <w:noProof/>
                <w:sz w:val="24"/>
                <w:szCs w:val="24"/>
                <w:lang w:eastAsia="cs-CZ"/>
              </w:rPr>
              <w:tab/>
            </w:r>
            <w:r w:rsidRPr="008C5C2B">
              <w:rPr>
                <w:rStyle w:val="Hypertextovodkaz"/>
                <w:rFonts w:ascii="Arial" w:hAnsi="Arial" w:cs="Arial"/>
                <w:noProof/>
              </w:rPr>
              <w:t>Shrnutí výsledků</w:t>
            </w:r>
            <w:r w:rsidRPr="008C5C2B">
              <w:rPr>
                <w:rFonts w:ascii="Arial" w:hAnsi="Arial" w:cs="Arial"/>
                <w:noProof/>
                <w:webHidden/>
              </w:rPr>
              <w:tab/>
            </w:r>
            <w:r w:rsidRPr="008C5C2B">
              <w:rPr>
                <w:rFonts w:ascii="Arial" w:hAnsi="Arial" w:cs="Arial"/>
                <w:noProof/>
                <w:webHidden/>
              </w:rPr>
              <w:fldChar w:fldCharType="begin"/>
            </w:r>
            <w:r w:rsidRPr="008C5C2B">
              <w:rPr>
                <w:rFonts w:ascii="Arial" w:hAnsi="Arial" w:cs="Arial"/>
                <w:noProof/>
                <w:webHidden/>
              </w:rPr>
              <w:instrText xml:space="preserve"> PAGEREF _Toc184799885 \h </w:instrText>
            </w:r>
            <w:r w:rsidRPr="008C5C2B">
              <w:rPr>
                <w:rFonts w:ascii="Arial" w:hAnsi="Arial" w:cs="Arial"/>
                <w:noProof/>
                <w:webHidden/>
              </w:rPr>
            </w:r>
            <w:r w:rsidRPr="008C5C2B">
              <w:rPr>
                <w:rFonts w:ascii="Arial" w:hAnsi="Arial" w:cs="Arial"/>
                <w:noProof/>
                <w:webHidden/>
              </w:rPr>
              <w:fldChar w:fldCharType="separate"/>
            </w:r>
            <w:r w:rsidRPr="008C5C2B">
              <w:rPr>
                <w:rFonts w:ascii="Arial" w:hAnsi="Arial" w:cs="Arial"/>
                <w:noProof/>
                <w:webHidden/>
              </w:rPr>
              <w:t>18</w:t>
            </w:r>
            <w:r w:rsidRPr="008C5C2B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13CB00C3" w14:textId="4F875C5E" w:rsidR="000E1BFD" w:rsidRDefault="002F168C" w:rsidP="002F168C">
          <w:pPr>
            <w:spacing w:after="120"/>
          </w:pPr>
          <w:r w:rsidRPr="008C5C2B">
            <w:rPr>
              <w:rFonts w:ascii="Arial" w:hAnsi="Arial" w:cs="Arial"/>
            </w:rPr>
            <w:fldChar w:fldCharType="end"/>
          </w:r>
        </w:p>
      </w:sdtContent>
    </w:sdt>
    <w:p w14:paraId="6CD241AA" w14:textId="5D0494BD" w:rsidR="00C070C0" w:rsidRDefault="00C070C0" w:rsidP="0011374B">
      <w:pPr>
        <w:spacing w:after="120"/>
      </w:pPr>
      <w:r>
        <w:br w:type="page"/>
      </w:r>
    </w:p>
    <w:p w14:paraId="516B1D1E" w14:textId="75DDF8EA" w:rsidR="00BA4FFB" w:rsidRDefault="00BA4FFB" w:rsidP="006D0A3E">
      <w:pPr>
        <w:pStyle w:val="Nadpis1"/>
        <w:spacing w:before="120" w:after="0"/>
        <w:rPr>
          <w:rFonts w:ascii="Arial" w:hAnsi="Arial" w:cs="Arial"/>
          <w:b/>
          <w:bCs/>
          <w:color w:val="auto"/>
          <w:sz w:val="24"/>
          <w:szCs w:val="24"/>
        </w:rPr>
      </w:pPr>
      <w:bookmarkStart w:id="1" w:name="_Toc184799878"/>
      <w:r>
        <w:rPr>
          <w:rFonts w:ascii="Arial" w:hAnsi="Arial" w:cs="Arial"/>
          <w:b/>
          <w:bCs/>
          <w:color w:val="auto"/>
          <w:sz w:val="24"/>
          <w:szCs w:val="24"/>
        </w:rPr>
        <w:lastRenderedPageBreak/>
        <w:t>Úvod</w:t>
      </w:r>
      <w:bookmarkEnd w:id="1"/>
    </w:p>
    <w:p w14:paraId="327BFF66" w14:textId="36A9119B" w:rsidR="003678B1" w:rsidRDefault="007D6951" w:rsidP="00C45E2E">
      <w:pPr>
        <w:spacing w:before="120" w:after="0"/>
        <w:jc w:val="both"/>
        <w:rPr>
          <w:rFonts w:ascii="Arial" w:hAnsi="Arial" w:cs="Arial"/>
        </w:rPr>
      </w:pPr>
      <w:r w:rsidRPr="007D6951">
        <w:rPr>
          <w:rFonts w:ascii="Arial" w:hAnsi="Arial" w:cs="Arial"/>
        </w:rPr>
        <w:t>Tato</w:t>
      </w:r>
      <w:r w:rsidR="001356E1" w:rsidRPr="007D6951">
        <w:rPr>
          <w:rFonts w:ascii="Arial" w:hAnsi="Arial" w:cs="Arial"/>
        </w:rPr>
        <w:t xml:space="preserve"> </w:t>
      </w:r>
      <w:r w:rsidR="00925C01" w:rsidRPr="007D6951">
        <w:rPr>
          <w:rFonts w:ascii="Arial" w:hAnsi="Arial" w:cs="Arial"/>
        </w:rPr>
        <w:t>analýz</w:t>
      </w:r>
      <w:r w:rsidRPr="007D6951">
        <w:rPr>
          <w:rFonts w:ascii="Arial" w:hAnsi="Arial" w:cs="Arial"/>
        </w:rPr>
        <w:t>a</w:t>
      </w:r>
      <w:r w:rsidR="001356E1" w:rsidRPr="007D6951">
        <w:rPr>
          <w:rFonts w:ascii="Arial" w:hAnsi="Arial" w:cs="Arial"/>
        </w:rPr>
        <w:t xml:space="preserve"> se</w:t>
      </w:r>
      <w:r w:rsidR="00925C01" w:rsidRPr="007D6951">
        <w:rPr>
          <w:rFonts w:ascii="Arial" w:hAnsi="Arial" w:cs="Arial"/>
        </w:rPr>
        <w:t xml:space="preserve"> věnuje</w:t>
      </w:r>
      <w:r w:rsidR="001356E1" w:rsidRPr="007D6951">
        <w:rPr>
          <w:rFonts w:ascii="Arial" w:hAnsi="Arial" w:cs="Arial"/>
        </w:rPr>
        <w:t xml:space="preserve"> hodnocení vybraných ekonomických subjektů</w:t>
      </w:r>
      <w:r w:rsidRPr="007D6951">
        <w:rPr>
          <w:rFonts w:ascii="Arial" w:hAnsi="Arial" w:cs="Arial"/>
        </w:rPr>
        <w:t xml:space="preserve"> v Plzeňském kraji</w:t>
      </w:r>
      <w:r w:rsidR="001356E1" w:rsidRPr="007D6951">
        <w:rPr>
          <w:rFonts w:ascii="Arial" w:hAnsi="Arial" w:cs="Arial"/>
        </w:rPr>
        <w:t xml:space="preserve"> z hlediska </w:t>
      </w:r>
      <w:r w:rsidR="001356E1">
        <w:rPr>
          <w:rFonts w:ascii="Arial" w:hAnsi="Arial" w:cs="Arial"/>
        </w:rPr>
        <w:t>postavení v globálních produkčních řetězcích (GPN) a jejich ekonomickým charakteristikám.</w:t>
      </w:r>
      <w:r w:rsidR="00925C01">
        <w:rPr>
          <w:rFonts w:ascii="Arial" w:hAnsi="Arial" w:cs="Arial"/>
        </w:rPr>
        <w:t xml:space="preserve"> Navazuje na </w:t>
      </w:r>
      <w:r w:rsidR="00E72EAB">
        <w:rPr>
          <w:rFonts w:ascii="Arial" w:hAnsi="Arial" w:cs="Arial"/>
        </w:rPr>
        <w:t>analýz</w:t>
      </w:r>
      <w:r>
        <w:rPr>
          <w:rFonts w:ascii="Arial" w:hAnsi="Arial" w:cs="Arial"/>
        </w:rPr>
        <w:t>u</w:t>
      </w:r>
      <w:r w:rsidR="00E72EAB">
        <w:rPr>
          <w:rFonts w:ascii="Arial" w:hAnsi="Arial" w:cs="Arial"/>
        </w:rPr>
        <w:t xml:space="preserve"> ekonomických subjektů v</w:t>
      </w:r>
      <w:r w:rsidR="006665BE">
        <w:rPr>
          <w:rFonts w:ascii="Arial" w:hAnsi="Arial" w:cs="Arial"/>
        </w:rPr>
        <w:t> </w:t>
      </w:r>
      <w:r w:rsidR="00E72EAB">
        <w:rPr>
          <w:rFonts w:ascii="Arial" w:hAnsi="Arial" w:cs="Arial"/>
        </w:rPr>
        <w:t>Plzeňském</w:t>
      </w:r>
      <w:r w:rsidR="006665BE">
        <w:rPr>
          <w:rFonts w:ascii="Arial" w:hAnsi="Arial" w:cs="Arial"/>
        </w:rPr>
        <w:t xml:space="preserve"> kraji</w:t>
      </w:r>
      <w:r w:rsidR="003839A7" w:rsidRPr="003839A7">
        <w:t xml:space="preserve"> </w:t>
      </w:r>
      <w:r w:rsidR="003839A7" w:rsidRPr="003839A7">
        <w:rPr>
          <w:rFonts w:ascii="Arial" w:hAnsi="Arial" w:cs="Arial"/>
        </w:rPr>
        <w:t>ve vybraných odvětvích z hlediska produktu</w:t>
      </w:r>
      <w:r w:rsidR="006665BE">
        <w:rPr>
          <w:rFonts w:ascii="Arial" w:hAnsi="Arial" w:cs="Arial"/>
        </w:rPr>
        <w:t xml:space="preserve">, v níž byla podrobně zhodnocena </w:t>
      </w:r>
      <w:r w:rsidR="00C45E2E">
        <w:rPr>
          <w:rFonts w:ascii="Arial" w:hAnsi="Arial" w:cs="Arial"/>
        </w:rPr>
        <w:t>jejich struktur</w:t>
      </w:r>
      <w:r w:rsidR="006665BE">
        <w:rPr>
          <w:rFonts w:ascii="Arial" w:hAnsi="Arial" w:cs="Arial"/>
        </w:rPr>
        <w:t>a</w:t>
      </w:r>
      <w:r w:rsidR="00C45E2E">
        <w:rPr>
          <w:rFonts w:ascii="Arial" w:hAnsi="Arial" w:cs="Arial"/>
        </w:rPr>
        <w:t xml:space="preserve">. </w:t>
      </w:r>
      <w:r w:rsidR="006E0FBB">
        <w:rPr>
          <w:rFonts w:ascii="Arial" w:hAnsi="Arial" w:cs="Arial"/>
        </w:rPr>
        <w:t xml:space="preserve">Vzhledem k dostupnosti údajů o hospodaření ekonomických subjektů byla původní množina hodnocených firem zúžena na </w:t>
      </w:r>
      <w:r w:rsidR="0023156F">
        <w:rPr>
          <w:rFonts w:ascii="Arial" w:hAnsi="Arial" w:cs="Arial"/>
        </w:rPr>
        <w:t>169 subjektů, pro něž byly všechny potřebné údaje za sledované období k dispozici.</w:t>
      </w:r>
    </w:p>
    <w:p w14:paraId="7FB030E3" w14:textId="05832AE0" w:rsidR="00522DC2" w:rsidRDefault="006D0A3E" w:rsidP="00C45E2E">
      <w:pPr>
        <w:spacing w:before="120"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Úvodní kapitola 1 se </w:t>
      </w:r>
      <w:r w:rsidR="008C5C2B">
        <w:rPr>
          <w:rFonts w:ascii="Arial" w:hAnsi="Arial" w:cs="Arial"/>
        </w:rPr>
        <w:t>týká zejména definice globálních produkčních sítí a jednotlivých pojmů spojených s tímto tématem. Na úvodní metodickou část navazuje hodnocení subjektů v Plzeňském kraji podle jejich postavení v</w:t>
      </w:r>
      <w:r w:rsidR="0022282D">
        <w:rPr>
          <w:rFonts w:ascii="Arial" w:hAnsi="Arial" w:cs="Arial"/>
        </w:rPr>
        <w:t> </w:t>
      </w:r>
      <w:r w:rsidR="008C5C2B">
        <w:rPr>
          <w:rFonts w:ascii="Arial" w:hAnsi="Arial" w:cs="Arial"/>
        </w:rPr>
        <w:t>GPN</w:t>
      </w:r>
      <w:r w:rsidR="0022282D">
        <w:rPr>
          <w:rFonts w:ascii="Arial" w:hAnsi="Arial" w:cs="Arial"/>
        </w:rPr>
        <w:t xml:space="preserve"> i analýza jejich struktury podle ukazatelů </w:t>
      </w:r>
      <w:r w:rsidR="003A7EA7">
        <w:rPr>
          <w:rFonts w:ascii="Arial" w:hAnsi="Arial" w:cs="Arial"/>
        </w:rPr>
        <w:t xml:space="preserve">vycházejících z </w:t>
      </w:r>
      <w:r w:rsidR="008B2F11" w:rsidRPr="008B2F11">
        <w:rPr>
          <w:rFonts w:ascii="Arial" w:hAnsi="Arial" w:cs="Arial"/>
        </w:rPr>
        <w:t>Analýz</w:t>
      </w:r>
      <w:r w:rsidR="008B2F11">
        <w:rPr>
          <w:rFonts w:ascii="Arial" w:hAnsi="Arial" w:cs="Arial"/>
        </w:rPr>
        <w:t>y</w:t>
      </w:r>
      <w:r w:rsidR="008B2F11" w:rsidRPr="008B2F11">
        <w:rPr>
          <w:rFonts w:ascii="Arial" w:hAnsi="Arial" w:cs="Arial"/>
        </w:rPr>
        <w:t xml:space="preserve"> ekonomických subjektů v Plzeňském kraji ve vybraných odvětvích z hlediska produktu a postavení v globálních produkčních sítích</w:t>
      </w:r>
      <w:r w:rsidR="008C5C2B">
        <w:rPr>
          <w:rFonts w:ascii="Arial" w:hAnsi="Arial" w:cs="Arial"/>
        </w:rPr>
        <w:t>.</w:t>
      </w:r>
    </w:p>
    <w:p w14:paraId="739BF848" w14:textId="63392420" w:rsidR="008C5C2B" w:rsidRDefault="00291EB9" w:rsidP="00C45E2E">
      <w:pPr>
        <w:spacing w:before="120"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Obsahem 2. kapitoly je ekonomická charakteristika </w:t>
      </w:r>
      <w:r w:rsidR="00A55DA6">
        <w:rPr>
          <w:rFonts w:ascii="Arial" w:hAnsi="Arial" w:cs="Arial"/>
        </w:rPr>
        <w:t xml:space="preserve">subjektů, a to z mnoha perspektiv. Hlavním východiskem je metodika prof. Blažka využívající k hodnocení ekonomických subjektů </w:t>
      </w:r>
      <w:r w:rsidR="00BB0FF8">
        <w:rPr>
          <w:rFonts w:ascii="Arial" w:hAnsi="Arial" w:cs="Arial"/>
        </w:rPr>
        <w:t>jako hlavní ukazatele hodnotu vytvořenou a udrženou. V rámci této kapitoly j</w:t>
      </w:r>
      <w:r w:rsidR="008B2F11">
        <w:rPr>
          <w:rFonts w:ascii="Arial" w:hAnsi="Arial" w:cs="Arial"/>
        </w:rPr>
        <w:t>sou</w:t>
      </w:r>
      <w:r w:rsidR="00BB0FF8">
        <w:rPr>
          <w:rFonts w:ascii="Arial" w:hAnsi="Arial" w:cs="Arial"/>
        </w:rPr>
        <w:t xml:space="preserve"> také po</w:t>
      </w:r>
      <w:r w:rsidR="008A4C2E">
        <w:rPr>
          <w:rFonts w:ascii="Arial" w:hAnsi="Arial" w:cs="Arial"/>
        </w:rPr>
        <w:t>psány výsledky testování souvislostí mezi různými kvantitativními i kvalitativními charakteristikami</w:t>
      </w:r>
      <w:r w:rsidR="0022282D">
        <w:rPr>
          <w:rFonts w:ascii="Arial" w:hAnsi="Arial" w:cs="Arial"/>
        </w:rPr>
        <w:t xml:space="preserve"> ekonomických subjektů.</w:t>
      </w:r>
    </w:p>
    <w:p w14:paraId="00E3F218" w14:textId="7E22E899" w:rsidR="00386BFC" w:rsidRDefault="00386BFC" w:rsidP="00C45E2E">
      <w:pPr>
        <w:spacing w:before="120"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Pro přehlednost jsou pak nejpodstatnější poznatky</w:t>
      </w:r>
      <w:r w:rsidR="001F1C64">
        <w:rPr>
          <w:rFonts w:ascii="Arial" w:hAnsi="Arial" w:cs="Arial"/>
        </w:rPr>
        <w:t xml:space="preserve"> analýzy shrnuty v kapitole </w:t>
      </w:r>
      <w:r w:rsidR="00B304EE">
        <w:rPr>
          <w:rFonts w:ascii="Arial" w:hAnsi="Arial" w:cs="Arial"/>
        </w:rPr>
        <w:t>3</w:t>
      </w:r>
      <w:r w:rsidR="001F1C64">
        <w:rPr>
          <w:rFonts w:ascii="Arial" w:hAnsi="Arial" w:cs="Arial"/>
        </w:rPr>
        <w:t xml:space="preserve"> do několika stručných bodů.</w:t>
      </w:r>
    </w:p>
    <w:p w14:paraId="4574C2CA" w14:textId="77777777" w:rsidR="00B30AC7" w:rsidRDefault="00B30AC7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5D0484E6" w14:textId="24613E58" w:rsidR="00DD79A9" w:rsidRPr="00966A91" w:rsidRDefault="00E16B7D" w:rsidP="00365237">
      <w:pPr>
        <w:pStyle w:val="Nadpis1"/>
        <w:numPr>
          <w:ilvl w:val="0"/>
          <w:numId w:val="27"/>
        </w:numPr>
        <w:spacing w:before="120" w:after="0"/>
        <w:rPr>
          <w:rFonts w:ascii="Arial" w:hAnsi="Arial" w:cs="Arial"/>
          <w:b/>
          <w:bCs/>
          <w:color w:val="auto"/>
          <w:sz w:val="26"/>
          <w:szCs w:val="26"/>
        </w:rPr>
      </w:pPr>
      <w:bookmarkStart w:id="2" w:name="_Toc184799879"/>
      <w:r w:rsidRPr="00966A91">
        <w:rPr>
          <w:rFonts w:ascii="Arial" w:hAnsi="Arial" w:cs="Arial"/>
          <w:b/>
          <w:bCs/>
          <w:color w:val="auto"/>
          <w:sz w:val="26"/>
          <w:szCs w:val="26"/>
        </w:rPr>
        <w:lastRenderedPageBreak/>
        <w:t xml:space="preserve">Hodnocení </w:t>
      </w:r>
      <w:r w:rsidR="00D0274C" w:rsidRPr="00966A91">
        <w:rPr>
          <w:rFonts w:ascii="Arial" w:hAnsi="Arial" w:cs="Arial"/>
          <w:b/>
          <w:bCs/>
          <w:color w:val="auto"/>
          <w:sz w:val="26"/>
          <w:szCs w:val="26"/>
        </w:rPr>
        <w:t xml:space="preserve">globálních </w:t>
      </w:r>
      <w:r w:rsidR="00DD79A9" w:rsidRPr="00966A91">
        <w:rPr>
          <w:rFonts w:ascii="Arial" w:hAnsi="Arial" w:cs="Arial"/>
          <w:b/>
          <w:bCs/>
          <w:color w:val="auto"/>
          <w:sz w:val="26"/>
          <w:szCs w:val="26"/>
        </w:rPr>
        <w:t xml:space="preserve">produkčních </w:t>
      </w:r>
      <w:r w:rsidR="00D0274C" w:rsidRPr="00966A91">
        <w:rPr>
          <w:rFonts w:ascii="Arial" w:hAnsi="Arial" w:cs="Arial"/>
          <w:b/>
          <w:bCs/>
          <w:color w:val="auto"/>
          <w:sz w:val="26"/>
          <w:szCs w:val="26"/>
        </w:rPr>
        <w:t>sítí (GPN)</w:t>
      </w:r>
      <w:bookmarkEnd w:id="2"/>
    </w:p>
    <w:p w14:paraId="1508939A" w14:textId="71F91D23" w:rsidR="00F11DD9" w:rsidRPr="00365237" w:rsidRDefault="00E2286A" w:rsidP="00365237">
      <w:pPr>
        <w:pStyle w:val="Nadpis3"/>
        <w:numPr>
          <w:ilvl w:val="1"/>
          <w:numId w:val="27"/>
        </w:numPr>
        <w:ind w:left="426"/>
        <w:rPr>
          <w:rFonts w:ascii="Arial" w:hAnsi="Arial" w:cs="Arial"/>
          <w:b/>
          <w:bCs/>
          <w:color w:val="auto"/>
          <w:sz w:val="24"/>
          <w:szCs w:val="24"/>
        </w:rPr>
      </w:pPr>
      <w:bookmarkStart w:id="3" w:name="_Toc184799880"/>
      <w:r w:rsidRPr="00365237">
        <w:rPr>
          <w:rFonts w:ascii="Arial" w:hAnsi="Arial" w:cs="Arial"/>
          <w:b/>
          <w:bCs/>
          <w:color w:val="auto"/>
          <w:sz w:val="24"/>
          <w:szCs w:val="24"/>
        </w:rPr>
        <w:t>Definice</w:t>
      </w:r>
      <w:r w:rsidR="000E7571" w:rsidRPr="00365237">
        <w:rPr>
          <w:rFonts w:ascii="Arial" w:hAnsi="Arial" w:cs="Arial"/>
          <w:b/>
          <w:bCs/>
          <w:color w:val="auto"/>
          <w:sz w:val="24"/>
          <w:szCs w:val="24"/>
        </w:rPr>
        <w:t xml:space="preserve"> globálních produkčních sítí</w:t>
      </w:r>
      <w:bookmarkEnd w:id="3"/>
    </w:p>
    <w:p w14:paraId="32D2E663" w14:textId="317AA62E" w:rsidR="00BC7BAA" w:rsidRDefault="00BC7BAA" w:rsidP="007357CC">
      <w:pPr>
        <w:spacing w:before="120" w:after="0"/>
        <w:jc w:val="both"/>
        <w:rPr>
          <w:rFonts w:ascii="Arial" w:hAnsi="Arial" w:cs="Arial"/>
        </w:rPr>
      </w:pPr>
      <w:r w:rsidRPr="002D1DEF">
        <w:rPr>
          <w:rFonts w:ascii="Arial" w:hAnsi="Arial" w:cs="Arial"/>
          <w:b/>
          <w:bCs/>
        </w:rPr>
        <w:t xml:space="preserve">Globální produkční </w:t>
      </w:r>
      <w:r w:rsidR="006C4F48">
        <w:rPr>
          <w:rFonts w:ascii="Arial" w:hAnsi="Arial" w:cs="Arial"/>
          <w:b/>
          <w:bCs/>
        </w:rPr>
        <w:t>sítě</w:t>
      </w:r>
      <w:r w:rsidRPr="00A6202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(</w:t>
      </w:r>
      <w:proofErr w:type="spellStart"/>
      <w:r>
        <w:rPr>
          <w:rFonts w:ascii="Arial" w:hAnsi="Arial" w:cs="Arial"/>
        </w:rPr>
        <w:t>global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product</w:t>
      </w:r>
      <w:proofErr w:type="spellEnd"/>
      <w:r>
        <w:rPr>
          <w:rFonts w:ascii="Arial" w:hAnsi="Arial" w:cs="Arial"/>
        </w:rPr>
        <w:t xml:space="preserve"> network, GPN) </w:t>
      </w:r>
      <w:r w:rsidRPr="00A62025">
        <w:rPr>
          <w:rFonts w:ascii="Arial" w:hAnsi="Arial" w:cs="Arial"/>
        </w:rPr>
        <w:t>jsou složité sítě ekonomických aktivit, které spojují různé firmy, regiony a země do jednoho procesu výroby. Tento proces zahrnuje řadu kroků, od získávání surovin přes výrobu jednotlivých komponent až po montáž, distribuci a prodej konečného produktu.</w:t>
      </w:r>
      <w:r>
        <w:rPr>
          <w:rFonts w:ascii="Arial" w:hAnsi="Arial" w:cs="Arial"/>
        </w:rPr>
        <w:t xml:space="preserve"> </w:t>
      </w:r>
    </w:p>
    <w:p w14:paraId="7A2259F4" w14:textId="2327396E" w:rsidR="007357CC" w:rsidRPr="00A62025" w:rsidRDefault="007357CC" w:rsidP="007357CC">
      <w:pPr>
        <w:spacing w:before="120" w:after="0"/>
        <w:jc w:val="both"/>
        <w:rPr>
          <w:rFonts w:ascii="Arial" w:hAnsi="Arial" w:cs="Arial"/>
        </w:rPr>
      </w:pPr>
      <w:r w:rsidRPr="00A62025">
        <w:rPr>
          <w:rFonts w:ascii="Arial" w:hAnsi="Arial" w:cs="Arial"/>
        </w:rPr>
        <w:t xml:space="preserve">Klíčovou charakteristikou globálních </w:t>
      </w:r>
      <w:r w:rsidR="00691F11">
        <w:rPr>
          <w:rFonts w:ascii="Arial" w:hAnsi="Arial" w:cs="Arial"/>
        </w:rPr>
        <w:t>produkčních sítí</w:t>
      </w:r>
      <w:r w:rsidRPr="00A62025">
        <w:rPr>
          <w:rFonts w:ascii="Arial" w:hAnsi="Arial" w:cs="Arial"/>
        </w:rPr>
        <w:t xml:space="preserve"> je jejich </w:t>
      </w:r>
      <w:r w:rsidRPr="00A62025">
        <w:rPr>
          <w:rFonts w:ascii="Arial" w:hAnsi="Arial" w:cs="Arial"/>
          <w:b/>
          <w:bCs/>
        </w:rPr>
        <w:t>mezinárodní povaha</w:t>
      </w:r>
      <w:r w:rsidRPr="00A62025">
        <w:rPr>
          <w:rFonts w:ascii="Arial" w:hAnsi="Arial" w:cs="Arial"/>
        </w:rPr>
        <w:t xml:space="preserve"> a </w:t>
      </w:r>
      <w:r w:rsidRPr="00A62025">
        <w:rPr>
          <w:rFonts w:ascii="Arial" w:hAnsi="Arial" w:cs="Arial"/>
          <w:b/>
          <w:bCs/>
        </w:rPr>
        <w:t>spolupráce mezi firmami</w:t>
      </w:r>
      <w:r w:rsidRPr="00A62025">
        <w:rPr>
          <w:rFonts w:ascii="Arial" w:hAnsi="Arial" w:cs="Arial"/>
        </w:rPr>
        <w:t xml:space="preserve"> z různých částí světa, což často přináší výhody jako nižší náklady na výrobu a specializaci. Na druhou stranu, takové řetězce mohou být zranitelné vůči narušení (např. pandemie, obchodní konflikty, přírodní katastrofy), protože výpadky v jedné části světa mohou ovlivnit výrobu globálně.</w:t>
      </w:r>
    </w:p>
    <w:p w14:paraId="12E1DC1B" w14:textId="6F17EEF3" w:rsidR="007357CC" w:rsidRPr="00A62025" w:rsidRDefault="007357CC" w:rsidP="007357CC">
      <w:pPr>
        <w:spacing w:before="120" w:after="0"/>
        <w:jc w:val="both"/>
        <w:rPr>
          <w:rFonts w:ascii="Arial" w:hAnsi="Arial" w:cs="Arial"/>
        </w:rPr>
      </w:pPr>
      <w:r w:rsidRPr="00A62025">
        <w:rPr>
          <w:rFonts w:ascii="Arial" w:hAnsi="Arial" w:cs="Arial"/>
        </w:rPr>
        <w:t xml:space="preserve">Rozdíl mezi </w:t>
      </w:r>
      <w:r w:rsidRPr="00A62025">
        <w:rPr>
          <w:rFonts w:ascii="Arial" w:hAnsi="Arial" w:cs="Arial"/>
          <w:b/>
          <w:bCs/>
        </w:rPr>
        <w:t xml:space="preserve">globální produkční </w:t>
      </w:r>
      <w:r w:rsidR="00E8034D">
        <w:rPr>
          <w:rFonts w:ascii="Arial" w:hAnsi="Arial" w:cs="Arial"/>
          <w:b/>
          <w:bCs/>
        </w:rPr>
        <w:t xml:space="preserve">sítí </w:t>
      </w:r>
      <w:r w:rsidRPr="00A62025">
        <w:rPr>
          <w:rFonts w:ascii="Arial" w:hAnsi="Arial" w:cs="Arial"/>
        </w:rPr>
        <w:t xml:space="preserve">a </w:t>
      </w:r>
      <w:r w:rsidRPr="00A62025">
        <w:rPr>
          <w:rFonts w:ascii="Arial" w:hAnsi="Arial" w:cs="Arial"/>
          <w:b/>
          <w:bCs/>
        </w:rPr>
        <w:t>globálním hodnotovým řetězcem</w:t>
      </w:r>
      <w:r w:rsidRPr="00A62025">
        <w:rPr>
          <w:rFonts w:ascii="Arial" w:hAnsi="Arial" w:cs="Arial"/>
        </w:rPr>
        <w:t xml:space="preserve"> je v zaměření na různé aspekty výrobního procesu. Zatímco tyto dva pojmy jsou často používány zaměnitelně, mají jemné rozdíly:</w:t>
      </w:r>
    </w:p>
    <w:p w14:paraId="7DC5BD90" w14:textId="3F4D6409" w:rsidR="007357CC" w:rsidRPr="00A62025" w:rsidRDefault="007357CC" w:rsidP="004F0589">
      <w:pPr>
        <w:numPr>
          <w:ilvl w:val="0"/>
          <w:numId w:val="4"/>
        </w:numPr>
        <w:spacing w:before="120" w:after="0"/>
        <w:jc w:val="both"/>
        <w:rPr>
          <w:rFonts w:ascii="Arial" w:hAnsi="Arial" w:cs="Arial"/>
        </w:rPr>
      </w:pPr>
      <w:r w:rsidRPr="00A62025">
        <w:rPr>
          <w:rFonts w:ascii="Arial" w:hAnsi="Arial" w:cs="Arial"/>
          <w:b/>
          <w:bCs/>
        </w:rPr>
        <w:t xml:space="preserve">Globální produkční </w:t>
      </w:r>
      <w:r w:rsidR="00E8034D">
        <w:rPr>
          <w:rFonts w:ascii="Arial" w:hAnsi="Arial" w:cs="Arial"/>
          <w:b/>
          <w:bCs/>
        </w:rPr>
        <w:t>sítě</w:t>
      </w:r>
      <w:r w:rsidRPr="00A62025">
        <w:rPr>
          <w:rFonts w:ascii="Arial" w:hAnsi="Arial" w:cs="Arial"/>
          <w:b/>
          <w:bCs/>
        </w:rPr>
        <w:t xml:space="preserve"> (</w:t>
      </w:r>
      <w:proofErr w:type="spellStart"/>
      <w:r w:rsidRPr="00A62025">
        <w:rPr>
          <w:rFonts w:ascii="Arial" w:hAnsi="Arial" w:cs="Arial"/>
          <w:b/>
          <w:bCs/>
        </w:rPr>
        <w:t>Global</w:t>
      </w:r>
      <w:proofErr w:type="spellEnd"/>
      <w:r w:rsidRPr="00A62025">
        <w:rPr>
          <w:rFonts w:ascii="Arial" w:hAnsi="Arial" w:cs="Arial"/>
          <w:b/>
          <w:bCs/>
        </w:rPr>
        <w:t xml:space="preserve"> </w:t>
      </w:r>
      <w:proofErr w:type="spellStart"/>
      <w:r w:rsidRPr="00A62025">
        <w:rPr>
          <w:rFonts w:ascii="Arial" w:hAnsi="Arial" w:cs="Arial"/>
          <w:b/>
          <w:bCs/>
        </w:rPr>
        <w:t>Production</w:t>
      </w:r>
      <w:proofErr w:type="spellEnd"/>
      <w:r w:rsidRPr="00A62025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>Network</w:t>
      </w:r>
      <w:r w:rsidRPr="00A62025">
        <w:rPr>
          <w:rFonts w:ascii="Arial" w:hAnsi="Arial" w:cs="Arial"/>
          <w:b/>
          <w:bCs/>
        </w:rPr>
        <w:t>)</w:t>
      </w:r>
      <w:r w:rsidRPr="00A62025">
        <w:rPr>
          <w:rFonts w:ascii="Arial" w:hAnsi="Arial" w:cs="Arial"/>
        </w:rPr>
        <w:t>:</w:t>
      </w:r>
    </w:p>
    <w:p w14:paraId="260641A3" w14:textId="77777777" w:rsidR="007357CC" w:rsidRPr="00A62025" w:rsidRDefault="007357CC" w:rsidP="004F0589">
      <w:pPr>
        <w:numPr>
          <w:ilvl w:val="1"/>
          <w:numId w:val="4"/>
        </w:numPr>
        <w:spacing w:before="120" w:after="0"/>
        <w:jc w:val="both"/>
        <w:rPr>
          <w:rFonts w:ascii="Arial" w:hAnsi="Arial" w:cs="Arial"/>
        </w:rPr>
      </w:pPr>
      <w:r w:rsidRPr="00A62025">
        <w:rPr>
          <w:rFonts w:ascii="Arial" w:hAnsi="Arial" w:cs="Arial"/>
        </w:rPr>
        <w:t xml:space="preserve">Tento pojem se zaměřuje na </w:t>
      </w:r>
      <w:r w:rsidRPr="00A62025">
        <w:rPr>
          <w:rFonts w:ascii="Arial" w:hAnsi="Arial" w:cs="Arial"/>
          <w:b/>
          <w:bCs/>
        </w:rPr>
        <w:t>fyzický proces výroby</w:t>
      </w:r>
      <w:r w:rsidRPr="00A62025">
        <w:rPr>
          <w:rFonts w:ascii="Arial" w:hAnsi="Arial" w:cs="Arial"/>
        </w:rPr>
        <w:t xml:space="preserve"> produktu – od získávání surovin přes výrobu komponentů až po finální montáž a distribuci.</w:t>
      </w:r>
    </w:p>
    <w:p w14:paraId="76C7CD3D" w14:textId="159412B9" w:rsidR="007357CC" w:rsidRPr="00505845" w:rsidRDefault="007357CC" w:rsidP="00E64B15">
      <w:pPr>
        <w:numPr>
          <w:ilvl w:val="1"/>
          <w:numId w:val="4"/>
        </w:numPr>
        <w:spacing w:before="120" w:after="0"/>
        <w:jc w:val="both"/>
        <w:rPr>
          <w:rFonts w:ascii="Arial" w:hAnsi="Arial" w:cs="Arial"/>
        </w:rPr>
      </w:pPr>
      <w:r w:rsidRPr="00505845">
        <w:rPr>
          <w:rFonts w:ascii="Arial" w:hAnsi="Arial" w:cs="Arial"/>
        </w:rPr>
        <w:t xml:space="preserve">Důraz je kladen na </w:t>
      </w:r>
      <w:r w:rsidRPr="00505845">
        <w:rPr>
          <w:rFonts w:ascii="Arial" w:hAnsi="Arial" w:cs="Arial"/>
          <w:b/>
          <w:bCs/>
        </w:rPr>
        <w:t>výrobní kroky</w:t>
      </w:r>
      <w:r w:rsidRPr="00505845">
        <w:rPr>
          <w:rFonts w:ascii="Arial" w:hAnsi="Arial" w:cs="Arial"/>
        </w:rPr>
        <w:t xml:space="preserve"> a to, jak se zboží vyrábí, zpracovává a sestavuje, tedy „řetězec produkce“ produktu.</w:t>
      </w:r>
    </w:p>
    <w:p w14:paraId="6A199E1C" w14:textId="77777777" w:rsidR="007357CC" w:rsidRPr="00A62025" w:rsidRDefault="007357CC" w:rsidP="004F0589">
      <w:pPr>
        <w:numPr>
          <w:ilvl w:val="0"/>
          <w:numId w:val="4"/>
        </w:numPr>
        <w:spacing w:before="120" w:after="0"/>
        <w:jc w:val="both"/>
        <w:rPr>
          <w:rFonts w:ascii="Arial" w:hAnsi="Arial" w:cs="Arial"/>
        </w:rPr>
      </w:pPr>
      <w:r w:rsidRPr="00A62025">
        <w:rPr>
          <w:rFonts w:ascii="Arial" w:hAnsi="Arial" w:cs="Arial"/>
          <w:b/>
          <w:bCs/>
        </w:rPr>
        <w:t>Globální hodnotový řetězec (</w:t>
      </w:r>
      <w:proofErr w:type="spellStart"/>
      <w:r w:rsidRPr="00A62025">
        <w:rPr>
          <w:rFonts w:ascii="Arial" w:hAnsi="Arial" w:cs="Arial"/>
          <w:b/>
          <w:bCs/>
        </w:rPr>
        <w:t>Global</w:t>
      </w:r>
      <w:proofErr w:type="spellEnd"/>
      <w:r w:rsidRPr="00A62025">
        <w:rPr>
          <w:rFonts w:ascii="Arial" w:hAnsi="Arial" w:cs="Arial"/>
          <w:b/>
          <w:bCs/>
        </w:rPr>
        <w:t xml:space="preserve"> </w:t>
      </w:r>
      <w:proofErr w:type="spellStart"/>
      <w:r w:rsidRPr="00A62025">
        <w:rPr>
          <w:rFonts w:ascii="Arial" w:hAnsi="Arial" w:cs="Arial"/>
          <w:b/>
          <w:bCs/>
        </w:rPr>
        <w:t>Value</w:t>
      </w:r>
      <w:proofErr w:type="spellEnd"/>
      <w:r w:rsidRPr="00A62025">
        <w:rPr>
          <w:rFonts w:ascii="Arial" w:hAnsi="Arial" w:cs="Arial"/>
          <w:b/>
          <w:bCs/>
        </w:rPr>
        <w:t xml:space="preserve"> </w:t>
      </w:r>
      <w:proofErr w:type="spellStart"/>
      <w:r w:rsidRPr="00A62025">
        <w:rPr>
          <w:rFonts w:ascii="Arial" w:hAnsi="Arial" w:cs="Arial"/>
          <w:b/>
          <w:bCs/>
        </w:rPr>
        <w:t>Chain</w:t>
      </w:r>
      <w:proofErr w:type="spellEnd"/>
      <w:r w:rsidRPr="00A62025">
        <w:rPr>
          <w:rFonts w:ascii="Arial" w:hAnsi="Arial" w:cs="Arial"/>
          <w:b/>
          <w:bCs/>
        </w:rPr>
        <w:t>)</w:t>
      </w:r>
      <w:r w:rsidRPr="00A62025">
        <w:rPr>
          <w:rFonts w:ascii="Arial" w:hAnsi="Arial" w:cs="Arial"/>
        </w:rPr>
        <w:t>:</w:t>
      </w:r>
    </w:p>
    <w:p w14:paraId="73D3893C" w14:textId="77777777" w:rsidR="007357CC" w:rsidRPr="00A62025" w:rsidRDefault="007357CC" w:rsidP="004F0589">
      <w:pPr>
        <w:numPr>
          <w:ilvl w:val="1"/>
          <w:numId w:val="4"/>
        </w:numPr>
        <w:spacing w:before="120" w:after="0"/>
        <w:jc w:val="both"/>
        <w:rPr>
          <w:rFonts w:ascii="Arial" w:hAnsi="Arial" w:cs="Arial"/>
        </w:rPr>
      </w:pPr>
      <w:r w:rsidRPr="00A62025">
        <w:rPr>
          <w:rFonts w:ascii="Arial" w:hAnsi="Arial" w:cs="Arial"/>
        </w:rPr>
        <w:t xml:space="preserve">Tento pojem zahrnuje širší koncept a zaměřuje se nejen na produkci, ale také na </w:t>
      </w:r>
      <w:r w:rsidRPr="00A62025">
        <w:rPr>
          <w:rFonts w:ascii="Arial" w:hAnsi="Arial" w:cs="Arial"/>
          <w:b/>
          <w:bCs/>
        </w:rPr>
        <w:t>přidávání hodnoty</w:t>
      </w:r>
      <w:r w:rsidRPr="00A62025">
        <w:rPr>
          <w:rFonts w:ascii="Arial" w:hAnsi="Arial" w:cs="Arial"/>
        </w:rPr>
        <w:t xml:space="preserve"> v různých fázích. Zde se klade důraz na to, jak každá část procesu </w:t>
      </w:r>
      <w:r w:rsidRPr="00A62025">
        <w:rPr>
          <w:rFonts w:ascii="Arial" w:hAnsi="Arial" w:cs="Arial"/>
          <w:b/>
          <w:bCs/>
        </w:rPr>
        <w:t>přidává hodnotu</w:t>
      </w:r>
      <w:r w:rsidRPr="00A62025">
        <w:rPr>
          <w:rFonts w:ascii="Arial" w:hAnsi="Arial" w:cs="Arial"/>
        </w:rPr>
        <w:t xml:space="preserve"> (nejen fyzické produkty, ale i služby jako výzkum, design, marketing, zákaznický servis apod.).</w:t>
      </w:r>
    </w:p>
    <w:p w14:paraId="1544C6AC" w14:textId="77777777" w:rsidR="007357CC" w:rsidRPr="00A62025" w:rsidRDefault="007357CC" w:rsidP="004F0589">
      <w:pPr>
        <w:numPr>
          <w:ilvl w:val="1"/>
          <w:numId w:val="4"/>
        </w:numPr>
        <w:spacing w:before="120" w:after="0"/>
        <w:jc w:val="both"/>
        <w:rPr>
          <w:rFonts w:ascii="Arial" w:hAnsi="Arial" w:cs="Arial"/>
        </w:rPr>
      </w:pPr>
      <w:r w:rsidRPr="00A62025">
        <w:rPr>
          <w:rFonts w:ascii="Arial" w:hAnsi="Arial" w:cs="Arial"/>
        </w:rPr>
        <w:t xml:space="preserve">Zahrnuje také </w:t>
      </w:r>
      <w:r w:rsidRPr="00A62025">
        <w:rPr>
          <w:rFonts w:ascii="Arial" w:hAnsi="Arial" w:cs="Arial"/>
          <w:b/>
          <w:bCs/>
        </w:rPr>
        <w:t>ekonomické</w:t>
      </w:r>
      <w:r w:rsidRPr="00A62025">
        <w:rPr>
          <w:rFonts w:ascii="Arial" w:hAnsi="Arial" w:cs="Arial"/>
        </w:rPr>
        <w:t xml:space="preserve"> a </w:t>
      </w:r>
      <w:r w:rsidRPr="00A62025">
        <w:rPr>
          <w:rFonts w:ascii="Arial" w:hAnsi="Arial" w:cs="Arial"/>
          <w:b/>
          <w:bCs/>
        </w:rPr>
        <w:t>organizační</w:t>
      </w:r>
      <w:r w:rsidRPr="00A62025">
        <w:rPr>
          <w:rFonts w:ascii="Arial" w:hAnsi="Arial" w:cs="Arial"/>
        </w:rPr>
        <w:t xml:space="preserve"> aspekty – kdo zodpovídá za určitou část řetězce, kdo z toho profituje, a jak se hodnoty distribuují mezi jednotlivé účastníky.</w:t>
      </w:r>
    </w:p>
    <w:p w14:paraId="0A868257" w14:textId="77777777" w:rsidR="007357CC" w:rsidRPr="00A62025" w:rsidRDefault="007357CC" w:rsidP="004F0589">
      <w:pPr>
        <w:numPr>
          <w:ilvl w:val="1"/>
          <w:numId w:val="4"/>
        </w:numPr>
        <w:spacing w:before="120" w:after="0"/>
        <w:jc w:val="both"/>
        <w:rPr>
          <w:rFonts w:ascii="Arial" w:hAnsi="Arial" w:cs="Arial"/>
        </w:rPr>
      </w:pPr>
      <w:r w:rsidRPr="00A62025">
        <w:rPr>
          <w:rFonts w:ascii="Arial" w:hAnsi="Arial" w:cs="Arial"/>
        </w:rPr>
        <w:t xml:space="preserve">Tento pohled je více zaměřen na </w:t>
      </w:r>
      <w:r w:rsidRPr="00A62025">
        <w:rPr>
          <w:rFonts w:ascii="Arial" w:hAnsi="Arial" w:cs="Arial"/>
          <w:b/>
          <w:bCs/>
        </w:rPr>
        <w:t xml:space="preserve">ekonomiku a </w:t>
      </w:r>
      <w:proofErr w:type="gramStart"/>
      <w:r w:rsidRPr="00A62025">
        <w:rPr>
          <w:rFonts w:ascii="Arial" w:hAnsi="Arial" w:cs="Arial"/>
          <w:b/>
          <w:bCs/>
        </w:rPr>
        <w:t>obchod</w:t>
      </w:r>
      <w:r w:rsidRPr="00A62025">
        <w:rPr>
          <w:rFonts w:ascii="Arial" w:hAnsi="Arial" w:cs="Arial"/>
        </w:rPr>
        <w:t>,</w:t>
      </w:r>
      <w:proofErr w:type="gramEnd"/>
      <w:r w:rsidRPr="00A62025">
        <w:rPr>
          <w:rFonts w:ascii="Arial" w:hAnsi="Arial" w:cs="Arial"/>
        </w:rPr>
        <w:t xml:space="preserve"> než jen na samotný výrobní proces.</w:t>
      </w:r>
    </w:p>
    <w:p w14:paraId="6542EC84" w14:textId="25E1027F" w:rsidR="007357CC" w:rsidRPr="00926F92" w:rsidRDefault="00E8034D" w:rsidP="007357CC">
      <w:pPr>
        <w:spacing w:before="120" w:after="0"/>
        <w:rPr>
          <w:rFonts w:ascii="Arial" w:hAnsi="Arial" w:cs="Arial"/>
        </w:rPr>
      </w:pPr>
      <w:r w:rsidRPr="00926F92">
        <w:rPr>
          <w:rFonts w:ascii="Arial" w:hAnsi="Arial" w:cs="Arial"/>
        </w:rPr>
        <w:t xml:space="preserve">Stručně lze </w:t>
      </w:r>
      <w:r w:rsidR="009D127B">
        <w:rPr>
          <w:rFonts w:ascii="Arial" w:hAnsi="Arial" w:cs="Arial"/>
        </w:rPr>
        <w:t xml:space="preserve">tedy </w:t>
      </w:r>
      <w:r w:rsidRPr="00926F92">
        <w:rPr>
          <w:rFonts w:ascii="Arial" w:hAnsi="Arial" w:cs="Arial"/>
        </w:rPr>
        <w:t>rozdíl</w:t>
      </w:r>
      <w:r w:rsidR="00926F92" w:rsidRPr="00926F92">
        <w:rPr>
          <w:rFonts w:ascii="Arial" w:hAnsi="Arial" w:cs="Arial"/>
        </w:rPr>
        <w:t xml:space="preserve"> mezi produkční sítí a hodnotovým řetězcem shrnout následovně: </w:t>
      </w:r>
    </w:p>
    <w:p w14:paraId="53786489" w14:textId="77777777" w:rsidR="007357CC" w:rsidRPr="00A62025" w:rsidRDefault="007357CC" w:rsidP="007357CC">
      <w:pPr>
        <w:numPr>
          <w:ilvl w:val="0"/>
          <w:numId w:val="5"/>
        </w:numPr>
        <w:spacing w:before="120" w:after="0"/>
        <w:jc w:val="both"/>
        <w:rPr>
          <w:rFonts w:ascii="Arial" w:hAnsi="Arial" w:cs="Arial"/>
        </w:rPr>
      </w:pPr>
      <w:r w:rsidRPr="00A62025">
        <w:rPr>
          <w:rFonts w:ascii="Arial" w:hAnsi="Arial" w:cs="Arial"/>
          <w:b/>
          <w:bCs/>
        </w:rPr>
        <w:t>Produkční řetězec</w:t>
      </w:r>
      <w:r w:rsidRPr="00A62025">
        <w:rPr>
          <w:rFonts w:ascii="Arial" w:hAnsi="Arial" w:cs="Arial"/>
        </w:rPr>
        <w:t xml:space="preserve"> se soustředí na </w:t>
      </w:r>
      <w:r w:rsidRPr="00A62025">
        <w:rPr>
          <w:rFonts w:ascii="Arial" w:hAnsi="Arial" w:cs="Arial"/>
          <w:b/>
          <w:bCs/>
        </w:rPr>
        <w:t>výrobu</w:t>
      </w:r>
      <w:r w:rsidRPr="00A62025">
        <w:rPr>
          <w:rFonts w:ascii="Arial" w:hAnsi="Arial" w:cs="Arial"/>
        </w:rPr>
        <w:t xml:space="preserve"> (co a kde se vyrábí).</w:t>
      </w:r>
    </w:p>
    <w:p w14:paraId="4CB5BAC7" w14:textId="77777777" w:rsidR="007357CC" w:rsidRPr="00A62025" w:rsidRDefault="007357CC" w:rsidP="007357CC">
      <w:pPr>
        <w:numPr>
          <w:ilvl w:val="0"/>
          <w:numId w:val="5"/>
        </w:numPr>
        <w:spacing w:before="120" w:after="0"/>
        <w:jc w:val="both"/>
        <w:rPr>
          <w:rFonts w:ascii="Arial" w:hAnsi="Arial" w:cs="Arial"/>
        </w:rPr>
      </w:pPr>
      <w:r w:rsidRPr="00A62025">
        <w:rPr>
          <w:rFonts w:ascii="Arial" w:hAnsi="Arial" w:cs="Arial"/>
          <w:b/>
          <w:bCs/>
        </w:rPr>
        <w:t>Hodnotový řetězec</w:t>
      </w:r>
      <w:r w:rsidRPr="00A62025">
        <w:rPr>
          <w:rFonts w:ascii="Arial" w:hAnsi="Arial" w:cs="Arial"/>
        </w:rPr>
        <w:t xml:space="preserve"> zahrnuje širší koncept, kde je důležitá nejen výroba, ale i to, jak různé části procesu </w:t>
      </w:r>
      <w:r w:rsidRPr="00A62025">
        <w:rPr>
          <w:rFonts w:ascii="Arial" w:hAnsi="Arial" w:cs="Arial"/>
          <w:b/>
          <w:bCs/>
        </w:rPr>
        <w:t>přispívají k hodnotě</w:t>
      </w:r>
      <w:r w:rsidRPr="00A62025">
        <w:rPr>
          <w:rFonts w:ascii="Arial" w:hAnsi="Arial" w:cs="Arial"/>
        </w:rPr>
        <w:t xml:space="preserve"> produktu a jak se tato hodnota </w:t>
      </w:r>
      <w:r w:rsidRPr="00A62025">
        <w:rPr>
          <w:rFonts w:ascii="Arial" w:hAnsi="Arial" w:cs="Arial"/>
          <w:b/>
          <w:bCs/>
        </w:rPr>
        <w:t>distribuuje</w:t>
      </w:r>
      <w:r w:rsidRPr="00A62025">
        <w:rPr>
          <w:rFonts w:ascii="Arial" w:hAnsi="Arial" w:cs="Arial"/>
        </w:rPr>
        <w:t xml:space="preserve"> mezi jednotlivé účastníky řetězce.</w:t>
      </w:r>
    </w:p>
    <w:p w14:paraId="6DFBB94E" w14:textId="6ABFBDBA" w:rsidR="00E2286A" w:rsidRPr="00A62025" w:rsidRDefault="007357CC" w:rsidP="007357CC">
      <w:pPr>
        <w:spacing w:before="120" w:after="0"/>
        <w:jc w:val="both"/>
        <w:rPr>
          <w:rFonts w:ascii="Arial" w:hAnsi="Arial" w:cs="Arial"/>
        </w:rPr>
      </w:pPr>
      <w:r w:rsidRPr="00A62025">
        <w:rPr>
          <w:rFonts w:ascii="Arial" w:hAnsi="Arial" w:cs="Arial"/>
        </w:rPr>
        <w:t xml:space="preserve">V praxi se oba pojmy často překrývají, ale hodnotový řetězec má větší důraz na </w:t>
      </w:r>
      <w:r w:rsidRPr="00A62025">
        <w:rPr>
          <w:rFonts w:ascii="Arial" w:hAnsi="Arial" w:cs="Arial"/>
          <w:b/>
          <w:bCs/>
        </w:rPr>
        <w:t>ekonomiku a obchodní strukturu</w:t>
      </w:r>
      <w:r w:rsidRPr="00A62025">
        <w:rPr>
          <w:rFonts w:ascii="Arial" w:hAnsi="Arial" w:cs="Arial"/>
        </w:rPr>
        <w:t xml:space="preserve">, zatímco produkční řetězec se více zaměřuje na </w:t>
      </w:r>
      <w:r w:rsidRPr="00A62025">
        <w:rPr>
          <w:rFonts w:ascii="Arial" w:hAnsi="Arial" w:cs="Arial"/>
          <w:b/>
          <w:bCs/>
        </w:rPr>
        <w:t>výrobní fáze</w:t>
      </w:r>
      <w:r w:rsidRPr="00A62025">
        <w:rPr>
          <w:rFonts w:ascii="Arial" w:hAnsi="Arial" w:cs="Arial"/>
        </w:rPr>
        <w:t>.</w:t>
      </w:r>
      <w:r w:rsidR="00BC7BAA">
        <w:rPr>
          <w:rFonts w:ascii="Arial" w:hAnsi="Arial" w:cs="Arial"/>
        </w:rPr>
        <w:t xml:space="preserve"> </w:t>
      </w:r>
      <w:r w:rsidR="00A62025">
        <w:rPr>
          <w:rFonts w:ascii="Arial" w:hAnsi="Arial" w:cs="Arial"/>
        </w:rPr>
        <w:t>Výroba se obvykle skládá z těchto kroků a každý z nich může probíhat odděleně v jiné části světa</w:t>
      </w:r>
      <w:r w:rsidR="00C9044A">
        <w:rPr>
          <w:rFonts w:ascii="Arial" w:hAnsi="Arial" w:cs="Arial"/>
        </w:rPr>
        <w:t>:</w:t>
      </w:r>
    </w:p>
    <w:p w14:paraId="6D00E8AF" w14:textId="19045D9E" w:rsidR="00E2286A" w:rsidRPr="00A62025" w:rsidRDefault="00E2286A" w:rsidP="007357CC">
      <w:pPr>
        <w:numPr>
          <w:ilvl w:val="0"/>
          <w:numId w:val="3"/>
        </w:numPr>
        <w:spacing w:before="120" w:after="0"/>
        <w:rPr>
          <w:rFonts w:ascii="Arial" w:hAnsi="Arial" w:cs="Arial"/>
        </w:rPr>
      </w:pPr>
      <w:r w:rsidRPr="00A62025">
        <w:rPr>
          <w:rFonts w:ascii="Arial" w:hAnsi="Arial" w:cs="Arial"/>
        </w:rPr>
        <w:t>Těžba a zpracování surovin</w:t>
      </w:r>
    </w:p>
    <w:p w14:paraId="1D7FC1DD" w14:textId="645DEDE0" w:rsidR="00A62025" w:rsidRPr="00A62025" w:rsidRDefault="00A62025" w:rsidP="007357CC">
      <w:pPr>
        <w:numPr>
          <w:ilvl w:val="0"/>
          <w:numId w:val="3"/>
        </w:numPr>
        <w:spacing w:before="120" w:after="0"/>
        <w:rPr>
          <w:rFonts w:ascii="Arial" w:hAnsi="Arial" w:cs="Arial"/>
        </w:rPr>
      </w:pPr>
      <w:r w:rsidRPr="00A62025">
        <w:rPr>
          <w:rFonts w:ascii="Arial" w:hAnsi="Arial" w:cs="Arial"/>
        </w:rPr>
        <w:t>Výroba základních součástek</w:t>
      </w:r>
    </w:p>
    <w:p w14:paraId="56EB6B72" w14:textId="3E21922F" w:rsidR="00E2286A" w:rsidRPr="00A62025" w:rsidRDefault="00E2286A" w:rsidP="007357CC">
      <w:pPr>
        <w:numPr>
          <w:ilvl w:val="0"/>
          <w:numId w:val="3"/>
        </w:numPr>
        <w:spacing w:before="120" w:after="0"/>
        <w:rPr>
          <w:rFonts w:ascii="Arial" w:hAnsi="Arial" w:cs="Arial"/>
        </w:rPr>
      </w:pPr>
      <w:r w:rsidRPr="00A62025">
        <w:rPr>
          <w:rFonts w:ascii="Arial" w:hAnsi="Arial" w:cs="Arial"/>
        </w:rPr>
        <w:t>Výroba komponent</w:t>
      </w:r>
      <w:r w:rsidR="00A62025" w:rsidRPr="00A62025">
        <w:rPr>
          <w:rFonts w:ascii="Arial" w:hAnsi="Arial" w:cs="Arial"/>
        </w:rPr>
        <w:t xml:space="preserve"> či složitějších součástek</w:t>
      </w:r>
    </w:p>
    <w:p w14:paraId="2085E795" w14:textId="0A1E6FC3" w:rsidR="00E2286A" w:rsidRPr="00A62025" w:rsidRDefault="00E2286A" w:rsidP="007357CC">
      <w:pPr>
        <w:numPr>
          <w:ilvl w:val="0"/>
          <w:numId w:val="3"/>
        </w:numPr>
        <w:spacing w:before="120" w:after="0"/>
        <w:rPr>
          <w:rFonts w:ascii="Arial" w:hAnsi="Arial" w:cs="Arial"/>
        </w:rPr>
      </w:pPr>
      <w:r w:rsidRPr="00A62025">
        <w:rPr>
          <w:rFonts w:ascii="Arial" w:hAnsi="Arial" w:cs="Arial"/>
        </w:rPr>
        <w:t>Montáž</w:t>
      </w:r>
      <w:r w:rsidR="00A62025" w:rsidRPr="00A62025">
        <w:rPr>
          <w:rFonts w:ascii="Arial" w:hAnsi="Arial" w:cs="Arial"/>
        </w:rPr>
        <w:t xml:space="preserve"> finálního</w:t>
      </w:r>
      <w:r w:rsidRPr="00A62025">
        <w:rPr>
          <w:rFonts w:ascii="Arial" w:hAnsi="Arial" w:cs="Arial"/>
        </w:rPr>
        <w:t xml:space="preserve"> produktu</w:t>
      </w:r>
    </w:p>
    <w:p w14:paraId="18CFD8CE" w14:textId="77777777" w:rsidR="00A62025" w:rsidRDefault="00E2286A" w:rsidP="007357CC">
      <w:pPr>
        <w:numPr>
          <w:ilvl w:val="0"/>
          <w:numId w:val="3"/>
        </w:numPr>
        <w:spacing w:before="120" w:after="0"/>
        <w:jc w:val="both"/>
        <w:rPr>
          <w:rFonts w:ascii="Arial" w:hAnsi="Arial" w:cs="Arial"/>
        </w:rPr>
      </w:pPr>
      <w:r w:rsidRPr="00A62025">
        <w:rPr>
          <w:rFonts w:ascii="Arial" w:hAnsi="Arial" w:cs="Arial"/>
        </w:rPr>
        <w:t>Distribuce a prodej</w:t>
      </w:r>
    </w:p>
    <w:p w14:paraId="0EF2D15A" w14:textId="7886C125" w:rsidR="0023205C" w:rsidRPr="0023205C" w:rsidRDefault="00A62025" w:rsidP="007357CC">
      <w:pPr>
        <w:spacing w:before="120"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U jednotlivých aktivit se </w:t>
      </w:r>
      <w:r w:rsidRPr="00C9044A">
        <w:rPr>
          <w:rFonts w:ascii="Arial" w:hAnsi="Arial" w:cs="Arial"/>
          <w:b/>
          <w:bCs/>
        </w:rPr>
        <w:t>liší míra specializace a také přidané hodnoty</w:t>
      </w:r>
      <w:r>
        <w:rPr>
          <w:rFonts w:ascii="Arial" w:hAnsi="Arial" w:cs="Arial"/>
        </w:rPr>
        <w:t xml:space="preserve">, kterou daný subjekt vytváří. </w:t>
      </w:r>
      <w:r w:rsidR="0023205C">
        <w:rPr>
          <w:rFonts w:ascii="Arial" w:hAnsi="Arial" w:cs="Arial"/>
        </w:rPr>
        <w:t>Firmy</w:t>
      </w:r>
      <w:r w:rsidR="0023205C" w:rsidRPr="0023205C">
        <w:rPr>
          <w:rFonts w:ascii="Arial" w:hAnsi="Arial" w:cs="Arial"/>
        </w:rPr>
        <w:t xml:space="preserve"> mohou mít v globálních řetězcích různá </w:t>
      </w:r>
      <w:r w:rsidR="0023205C" w:rsidRPr="0023205C">
        <w:rPr>
          <w:rFonts w:ascii="Arial" w:hAnsi="Arial" w:cs="Arial"/>
          <w:b/>
          <w:bCs/>
        </w:rPr>
        <w:t>postavení</w:t>
      </w:r>
      <w:r w:rsidR="0023205C" w:rsidRPr="0023205C">
        <w:rPr>
          <w:rFonts w:ascii="Arial" w:hAnsi="Arial" w:cs="Arial"/>
        </w:rPr>
        <w:t xml:space="preserve">, která závisí na jejich roli v procesu výroby a na tom, jakou hodnotu do celkového produktu nebo služby přidávají. Tyto role mohou být různé a často závisí na schopnostech firmy, jejich inovacích a kontrole nad klíčovými procesy. </w:t>
      </w:r>
      <w:r w:rsidR="0023205C">
        <w:rPr>
          <w:rFonts w:ascii="Arial" w:hAnsi="Arial" w:cs="Arial"/>
        </w:rPr>
        <w:t>Podle</w:t>
      </w:r>
      <w:r w:rsidR="0023205C" w:rsidRPr="0023205C">
        <w:rPr>
          <w:rFonts w:ascii="Arial" w:hAnsi="Arial" w:cs="Arial"/>
        </w:rPr>
        <w:t xml:space="preserve"> postavení firem v</w:t>
      </w:r>
      <w:r w:rsidR="0023205C">
        <w:rPr>
          <w:rFonts w:ascii="Arial" w:hAnsi="Arial" w:cs="Arial"/>
        </w:rPr>
        <w:t xml:space="preserve"> produkčních </w:t>
      </w:r>
      <w:r w:rsidR="0023205C" w:rsidRPr="0023205C">
        <w:rPr>
          <w:rFonts w:ascii="Arial" w:hAnsi="Arial" w:cs="Arial"/>
        </w:rPr>
        <w:t>řetězcích</w:t>
      </w:r>
      <w:r w:rsidR="0023205C">
        <w:rPr>
          <w:rFonts w:ascii="Arial" w:hAnsi="Arial" w:cs="Arial"/>
        </w:rPr>
        <w:t xml:space="preserve"> dělíme na</w:t>
      </w:r>
      <w:r w:rsidR="0023205C" w:rsidRPr="0023205C">
        <w:rPr>
          <w:rFonts w:ascii="Arial" w:hAnsi="Arial" w:cs="Arial"/>
        </w:rPr>
        <w:t>:</w:t>
      </w:r>
    </w:p>
    <w:p w14:paraId="14562AD0" w14:textId="5BC502EA" w:rsidR="0023205C" w:rsidRPr="00212293" w:rsidRDefault="0023205C" w:rsidP="007357CC">
      <w:pPr>
        <w:spacing w:before="120" w:after="0"/>
        <w:jc w:val="both"/>
        <w:rPr>
          <w:rFonts w:ascii="Arial" w:hAnsi="Arial" w:cs="Arial"/>
        </w:rPr>
      </w:pPr>
      <w:r w:rsidRPr="00C9044A">
        <w:rPr>
          <w:rFonts w:ascii="Arial" w:hAnsi="Arial" w:cs="Arial"/>
          <w:b/>
          <w:bCs/>
        </w:rPr>
        <w:t>Vedoucí firma (integrátor</w:t>
      </w:r>
      <w:r w:rsidRPr="00212293">
        <w:rPr>
          <w:rFonts w:ascii="Arial" w:hAnsi="Arial" w:cs="Arial"/>
        </w:rPr>
        <w:t>)</w:t>
      </w:r>
      <w:r w:rsidR="00DC7E5D">
        <w:rPr>
          <w:rFonts w:ascii="Arial" w:hAnsi="Arial" w:cs="Arial"/>
        </w:rPr>
        <w:t xml:space="preserve"> </w:t>
      </w:r>
      <w:r w:rsidR="00D04A22">
        <w:rPr>
          <w:rFonts w:ascii="Arial" w:hAnsi="Arial" w:cs="Arial"/>
        </w:rPr>
        <w:t>–</w:t>
      </w:r>
      <w:r w:rsidR="00DC7E5D">
        <w:rPr>
          <w:rFonts w:ascii="Arial" w:hAnsi="Arial" w:cs="Arial"/>
        </w:rPr>
        <w:t xml:space="preserve"> </w:t>
      </w:r>
      <w:r w:rsidR="00DC7E5D" w:rsidRPr="00DC7E5D">
        <w:rPr>
          <w:rFonts w:ascii="Arial" w:hAnsi="Arial" w:cs="Arial"/>
        </w:rPr>
        <w:t>samostatná společnost, která má plnou kontrolu nad svou výrobní a obchodní činností</w:t>
      </w:r>
      <w:r w:rsidR="00DC7E5D">
        <w:rPr>
          <w:rFonts w:ascii="Arial" w:hAnsi="Arial" w:cs="Arial"/>
        </w:rPr>
        <w:t>.</w:t>
      </w:r>
      <w:r w:rsidR="0080630F">
        <w:rPr>
          <w:rFonts w:ascii="Arial" w:hAnsi="Arial" w:cs="Arial"/>
        </w:rPr>
        <w:t xml:space="preserve"> </w:t>
      </w:r>
      <w:r w:rsidR="0080630F" w:rsidRPr="0080630F">
        <w:rPr>
          <w:rFonts w:ascii="Arial" w:hAnsi="Arial" w:cs="Arial"/>
        </w:rPr>
        <w:t>Typicky řídí celý hodnotový řetězec nebo jeho velkou část.</w:t>
      </w:r>
    </w:p>
    <w:p w14:paraId="315BC505" w14:textId="48A855E2" w:rsidR="0023205C" w:rsidRPr="00212293" w:rsidRDefault="0023205C" w:rsidP="007357CC">
      <w:pPr>
        <w:numPr>
          <w:ilvl w:val="0"/>
          <w:numId w:val="11"/>
        </w:numPr>
        <w:spacing w:before="120" w:after="0"/>
        <w:jc w:val="both"/>
        <w:rPr>
          <w:rFonts w:ascii="Arial" w:hAnsi="Arial" w:cs="Arial"/>
        </w:rPr>
      </w:pPr>
      <w:r w:rsidRPr="00212293">
        <w:rPr>
          <w:rFonts w:ascii="Arial" w:hAnsi="Arial" w:cs="Arial"/>
        </w:rPr>
        <w:t xml:space="preserve">Charakteristika: Vedoucí firma řídí a koordinuje hodnotový řetězec. Tyto firmy obvykle kontrolují klíčové části řetězce, jako jsou design, vývoj produktů, marketing a distribuce. </w:t>
      </w:r>
      <w:r w:rsidR="003D2BB8" w:rsidRPr="003D2BB8">
        <w:rPr>
          <w:rFonts w:ascii="Arial" w:hAnsi="Arial" w:cs="Arial"/>
        </w:rPr>
        <w:t>Jako integrátor řídí a koordinuje síť dodavatelů a partnerů, které zapojuje do svého hodnotového řetězce.</w:t>
      </w:r>
      <w:r w:rsidR="003D2BB8">
        <w:rPr>
          <w:rFonts w:ascii="Arial" w:hAnsi="Arial" w:cs="Arial"/>
        </w:rPr>
        <w:t xml:space="preserve"> </w:t>
      </w:r>
      <w:r w:rsidRPr="00212293">
        <w:rPr>
          <w:rFonts w:ascii="Arial" w:hAnsi="Arial" w:cs="Arial"/>
        </w:rPr>
        <w:t xml:space="preserve">Často ovládají značku a rozhodují o tom, které firmy se zapojí do jednotlivých fází produkce. </w:t>
      </w:r>
      <w:r w:rsidR="003D2BB8" w:rsidRPr="003D2BB8">
        <w:rPr>
          <w:rFonts w:ascii="Arial" w:hAnsi="Arial" w:cs="Arial"/>
        </w:rPr>
        <w:t>Mají velký vliv na strukturu celého produkčního řetězce, včetně řízení inovací a výzkumu a vývoje.</w:t>
      </w:r>
      <w:r w:rsidR="003D2BB8">
        <w:rPr>
          <w:rFonts w:ascii="Arial" w:hAnsi="Arial" w:cs="Arial"/>
        </w:rPr>
        <w:t xml:space="preserve"> </w:t>
      </w:r>
      <w:r w:rsidRPr="00212293">
        <w:rPr>
          <w:rFonts w:ascii="Arial" w:hAnsi="Arial" w:cs="Arial"/>
        </w:rPr>
        <w:t>Tyto firmy také zajišťují konečnou distribuci a prodej produktů zákazníkům a hrají klíčovou roli při zajišťování přístupu na trh.</w:t>
      </w:r>
    </w:p>
    <w:p w14:paraId="762B325C" w14:textId="394B012E" w:rsidR="0023205C" w:rsidRDefault="0023205C" w:rsidP="007357CC">
      <w:pPr>
        <w:numPr>
          <w:ilvl w:val="0"/>
          <w:numId w:val="6"/>
        </w:numPr>
        <w:spacing w:before="120" w:after="0"/>
        <w:jc w:val="both"/>
        <w:rPr>
          <w:rFonts w:ascii="Arial" w:hAnsi="Arial" w:cs="Arial"/>
        </w:rPr>
      </w:pPr>
      <w:r w:rsidRPr="00212293">
        <w:rPr>
          <w:rFonts w:ascii="Arial" w:hAnsi="Arial" w:cs="Arial"/>
        </w:rPr>
        <w:t>Klíčové schopnosti: Vysoká míra inovací, schopnost strategicky řídit síť dodavatelů, silná značka, kontrola nad distribučními kanály, marketingové a prodejní dovednosti.</w:t>
      </w:r>
    </w:p>
    <w:p w14:paraId="63A70C95" w14:textId="2FAD795A" w:rsidR="003E31BE" w:rsidRPr="00C1396F" w:rsidRDefault="00427CA5" w:rsidP="003E31BE">
      <w:pPr>
        <w:spacing w:before="120" w:after="0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Pobočka zahraniční vedoucí firmy</w:t>
      </w:r>
      <w:r w:rsidR="00C1396F">
        <w:rPr>
          <w:rFonts w:ascii="Arial" w:hAnsi="Arial" w:cs="Arial"/>
          <w:b/>
          <w:bCs/>
        </w:rPr>
        <w:t xml:space="preserve"> </w:t>
      </w:r>
      <w:r w:rsidR="00D04A22">
        <w:rPr>
          <w:rFonts w:ascii="Arial" w:hAnsi="Arial" w:cs="Arial"/>
        </w:rPr>
        <w:t>–</w:t>
      </w:r>
      <w:r w:rsidR="00C1396F" w:rsidRPr="00C1396F">
        <w:rPr>
          <w:rFonts w:ascii="Arial" w:hAnsi="Arial" w:cs="Arial"/>
        </w:rPr>
        <w:t xml:space="preserve"> obvykle nemá plnou kontrolu nad svými aktivitami</w:t>
      </w:r>
      <w:r w:rsidR="00C1396F">
        <w:rPr>
          <w:rFonts w:ascii="Arial" w:hAnsi="Arial" w:cs="Arial"/>
        </w:rPr>
        <w:t>. K</w:t>
      </w:r>
      <w:r w:rsidR="00C1396F" w:rsidRPr="00C1396F">
        <w:rPr>
          <w:rFonts w:ascii="Arial" w:hAnsi="Arial" w:cs="Arial"/>
        </w:rPr>
        <w:t>líčové strategické směřování přichází od mateřské společnosti v</w:t>
      </w:r>
      <w:r w:rsidR="00C1396F">
        <w:rPr>
          <w:rFonts w:ascii="Arial" w:hAnsi="Arial" w:cs="Arial"/>
        </w:rPr>
        <w:t> </w:t>
      </w:r>
      <w:r w:rsidR="00C1396F" w:rsidRPr="00C1396F">
        <w:rPr>
          <w:rFonts w:ascii="Arial" w:hAnsi="Arial" w:cs="Arial"/>
        </w:rPr>
        <w:t>zahraničí</w:t>
      </w:r>
      <w:r w:rsidR="00C1396F">
        <w:rPr>
          <w:rFonts w:ascii="Arial" w:hAnsi="Arial" w:cs="Arial"/>
        </w:rPr>
        <w:t xml:space="preserve"> a p</w:t>
      </w:r>
      <w:r w:rsidR="00C1396F" w:rsidRPr="00C1396F">
        <w:rPr>
          <w:rFonts w:ascii="Arial" w:hAnsi="Arial" w:cs="Arial"/>
        </w:rPr>
        <w:t>obočka tedy funguje podle instrukcí a politik stanovených centrálním vedením.</w:t>
      </w:r>
    </w:p>
    <w:p w14:paraId="4EF2C04A" w14:textId="57F6A651" w:rsidR="006D29F8" w:rsidRDefault="003E31BE" w:rsidP="00E64B15">
      <w:pPr>
        <w:numPr>
          <w:ilvl w:val="0"/>
          <w:numId w:val="6"/>
        </w:numPr>
        <w:spacing w:before="120" w:after="0"/>
        <w:jc w:val="both"/>
        <w:rPr>
          <w:rFonts w:ascii="Arial" w:hAnsi="Arial" w:cs="Arial"/>
        </w:rPr>
      </w:pPr>
      <w:r w:rsidRPr="006D29F8">
        <w:rPr>
          <w:rFonts w:ascii="Arial" w:hAnsi="Arial" w:cs="Arial"/>
        </w:rPr>
        <w:t>Charakteristika:</w:t>
      </w:r>
      <w:r w:rsidR="006D29F8" w:rsidRPr="006D29F8">
        <w:t xml:space="preserve"> </w:t>
      </w:r>
      <w:r w:rsidR="006D29F8" w:rsidRPr="006D29F8">
        <w:rPr>
          <w:rFonts w:ascii="Arial" w:hAnsi="Arial" w:cs="Arial"/>
        </w:rPr>
        <w:t xml:space="preserve">Na rozdíl od vedoucí firmy </w:t>
      </w:r>
      <w:r w:rsidR="006D29F8">
        <w:rPr>
          <w:rFonts w:ascii="Arial" w:hAnsi="Arial" w:cs="Arial"/>
        </w:rPr>
        <w:t xml:space="preserve">má </w:t>
      </w:r>
      <w:r w:rsidR="006D29F8" w:rsidRPr="006D29F8">
        <w:rPr>
          <w:rFonts w:ascii="Arial" w:hAnsi="Arial" w:cs="Arial"/>
        </w:rPr>
        <w:t>pobočka zahraniční vedoucí firmy</w:t>
      </w:r>
      <w:r w:rsidRPr="006D29F8">
        <w:rPr>
          <w:rFonts w:ascii="Arial" w:hAnsi="Arial" w:cs="Arial"/>
        </w:rPr>
        <w:t xml:space="preserve"> </w:t>
      </w:r>
      <w:r w:rsidR="006D29F8">
        <w:rPr>
          <w:rFonts w:ascii="Arial" w:hAnsi="Arial" w:cs="Arial"/>
        </w:rPr>
        <w:t xml:space="preserve">omezenou autonomii. </w:t>
      </w:r>
      <w:r w:rsidR="006D29F8" w:rsidRPr="006D29F8">
        <w:rPr>
          <w:rFonts w:ascii="Arial" w:hAnsi="Arial" w:cs="Arial"/>
        </w:rPr>
        <w:t xml:space="preserve">Pobočka se často zaměřuje na konkrétní část výrobního procesu, jako je výroba, montáž, výzkum a vývoj nebo distribuce. Působí jako součást větší globální struktury, kterou řídí mateřská společnost, a má za úkol podporovat její strategické cíle. </w:t>
      </w:r>
      <w:r w:rsidR="003637F3" w:rsidRPr="003637F3">
        <w:rPr>
          <w:rFonts w:ascii="Arial" w:hAnsi="Arial" w:cs="Arial"/>
        </w:rPr>
        <w:t>Mateřská společnost rozhoduje o tom, jak bude pobočka začleněna do globálního hodnotového řetězce.</w:t>
      </w:r>
    </w:p>
    <w:p w14:paraId="11CB7B9A" w14:textId="16135ABC" w:rsidR="00EE3265" w:rsidRPr="00022C1D" w:rsidRDefault="003E31BE" w:rsidP="00E64B15">
      <w:pPr>
        <w:numPr>
          <w:ilvl w:val="0"/>
          <w:numId w:val="6"/>
        </w:numPr>
        <w:spacing w:before="120" w:after="0"/>
        <w:jc w:val="both"/>
        <w:rPr>
          <w:rFonts w:ascii="Arial" w:hAnsi="Arial" w:cs="Arial"/>
        </w:rPr>
      </w:pPr>
      <w:r w:rsidRPr="00EE3265">
        <w:rPr>
          <w:rFonts w:ascii="Arial" w:hAnsi="Arial" w:cs="Arial"/>
        </w:rPr>
        <w:t xml:space="preserve">Klíčové schopnosti: </w:t>
      </w:r>
      <w:r w:rsidR="002C5BB8" w:rsidRPr="00EE3265">
        <w:rPr>
          <w:rFonts w:ascii="Arial" w:hAnsi="Arial" w:cs="Arial"/>
        </w:rPr>
        <w:t>Přístup k technologiím a know-how</w:t>
      </w:r>
      <w:r w:rsidR="00ED225D" w:rsidRPr="00EE3265">
        <w:rPr>
          <w:rFonts w:ascii="Arial" w:hAnsi="Arial" w:cs="Arial"/>
        </w:rPr>
        <w:t xml:space="preserve"> mateřské firmy</w:t>
      </w:r>
      <w:r w:rsidR="002C5BB8" w:rsidRPr="00EE3265">
        <w:rPr>
          <w:rFonts w:ascii="Arial" w:hAnsi="Arial" w:cs="Arial"/>
        </w:rPr>
        <w:t xml:space="preserve">, </w:t>
      </w:r>
      <w:r w:rsidR="00EE3265" w:rsidRPr="00EE3265">
        <w:rPr>
          <w:rFonts w:ascii="Arial" w:hAnsi="Arial" w:cs="Arial"/>
        </w:rPr>
        <w:t>schopnost balancovat mezi dodržováním globálních pravidel a přizpůsobením se místním předpisům</w:t>
      </w:r>
      <w:r w:rsidR="00022C1D" w:rsidRPr="00022C1D">
        <w:rPr>
          <w:rFonts w:ascii="Arial" w:hAnsi="Arial" w:cs="Arial"/>
        </w:rPr>
        <w:t>, silné schopnosti v oblasti logistiky, řízení zásob a distribuce</w:t>
      </w:r>
      <w:r w:rsidR="00022C1D">
        <w:rPr>
          <w:rFonts w:ascii="Arial" w:hAnsi="Arial" w:cs="Arial"/>
        </w:rPr>
        <w:t>, transfer znalostí a přizpůsobení lokálnímu prostředí.</w:t>
      </w:r>
    </w:p>
    <w:p w14:paraId="7237F0C6" w14:textId="75C81388" w:rsidR="0023205C" w:rsidRPr="00D04A22" w:rsidRDefault="0023205C" w:rsidP="00EE3265">
      <w:pPr>
        <w:spacing w:before="120" w:after="0"/>
        <w:jc w:val="both"/>
        <w:rPr>
          <w:rFonts w:ascii="Arial" w:hAnsi="Arial" w:cs="Arial"/>
        </w:rPr>
      </w:pPr>
      <w:r w:rsidRPr="00EE3265">
        <w:rPr>
          <w:rFonts w:ascii="Arial" w:hAnsi="Arial" w:cs="Arial"/>
          <w:b/>
          <w:bCs/>
        </w:rPr>
        <w:t>Dodavatelé prvního řádu</w:t>
      </w:r>
      <w:r w:rsidR="00D04A22">
        <w:rPr>
          <w:rFonts w:ascii="Arial" w:hAnsi="Arial" w:cs="Arial"/>
          <w:b/>
          <w:bCs/>
        </w:rPr>
        <w:t xml:space="preserve"> </w:t>
      </w:r>
      <w:r w:rsidR="00D04A22" w:rsidRPr="00D04A22">
        <w:rPr>
          <w:rFonts w:ascii="Arial" w:hAnsi="Arial" w:cs="Arial"/>
        </w:rPr>
        <w:t xml:space="preserve">– </w:t>
      </w:r>
      <w:r w:rsidR="00BD6C48" w:rsidRPr="00BD6C48">
        <w:rPr>
          <w:rFonts w:ascii="Arial" w:hAnsi="Arial" w:cs="Arial"/>
        </w:rPr>
        <w:t>firmy, které dodávají komponenty, suroviny nebo služby přímo finálnímu výrobci.</w:t>
      </w:r>
    </w:p>
    <w:p w14:paraId="671CD7C9" w14:textId="77777777" w:rsidR="0023205C" w:rsidRPr="00212293" w:rsidRDefault="0023205C" w:rsidP="007357CC">
      <w:pPr>
        <w:numPr>
          <w:ilvl w:val="0"/>
          <w:numId w:val="7"/>
        </w:numPr>
        <w:spacing w:before="120" w:after="0"/>
        <w:jc w:val="both"/>
        <w:rPr>
          <w:rFonts w:ascii="Arial" w:hAnsi="Arial" w:cs="Arial"/>
        </w:rPr>
      </w:pPr>
      <w:r w:rsidRPr="00212293">
        <w:rPr>
          <w:rFonts w:ascii="Arial" w:hAnsi="Arial" w:cs="Arial"/>
        </w:rPr>
        <w:t>Charakteristika: Tyto firmy dodávají klíčové komponenty nebo služby vedoucí firmě. Mohou mít určitou míru autonomie a často se specializují na výrobu sofistikovaných částí produktu.</w:t>
      </w:r>
    </w:p>
    <w:p w14:paraId="056F5FC9" w14:textId="77777777" w:rsidR="0023205C" w:rsidRPr="00212293" w:rsidRDefault="0023205C" w:rsidP="007357CC">
      <w:pPr>
        <w:numPr>
          <w:ilvl w:val="0"/>
          <w:numId w:val="7"/>
        </w:numPr>
        <w:spacing w:before="120" w:after="0"/>
        <w:jc w:val="both"/>
        <w:rPr>
          <w:rFonts w:ascii="Arial" w:hAnsi="Arial" w:cs="Arial"/>
        </w:rPr>
      </w:pPr>
      <w:r w:rsidRPr="00212293">
        <w:rPr>
          <w:rFonts w:ascii="Arial" w:hAnsi="Arial" w:cs="Arial"/>
        </w:rPr>
        <w:t>Klíčové schopnosti: Vysoká technická zdatnost, kvalitní výrobní procesy, schopnost dodávat velké množství produktů ve vysoké kvalitě.</w:t>
      </w:r>
    </w:p>
    <w:p w14:paraId="1CBA5666" w14:textId="55AA05BC" w:rsidR="0023205C" w:rsidRPr="00C9044A" w:rsidRDefault="0023205C" w:rsidP="007357CC">
      <w:pPr>
        <w:spacing w:before="120" w:after="0"/>
        <w:jc w:val="both"/>
        <w:rPr>
          <w:rFonts w:ascii="Arial" w:hAnsi="Arial" w:cs="Arial"/>
          <w:b/>
          <w:bCs/>
        </w:rPr>
      </w:pPr>
      <w:r w:rsidRPr="00C9044A">
        <w:rPr>
          <w:rFonts w:ascii="Arial" w:hAnsi="Arial" w:cs="Arial"/>
          <w:b/>
          <w:bCs/>
        </w:rPr>
        <w:t>Dodavatelé druhého řádu</w:t>
      </w:r>
      <w:r w:rsidR="00D00ADB">
        <w:rPr>
          <w:rFonts w:ascii="Arial" w:hAnsi="Arial" w:cs="Arial"/>
          <w:b/>
          <w:bCs/>
        </w:rPr>
        <w:t xml:space="preserve"> </w:t>
      </w:r>
      <w:r w:rsidR="00D00ADB" w:rsidRPr="00D00ADB">
        <w:rPr>
          <w:rFonts w:ascii="Arial" w:hAnsi="Arial" w:cs="Arial"/>
        </w:rPr>
        <w:t>– dodávají komponenty nebo suroviny dodavatelům 1. řádu, ale nekomunikují přímo s finálním výrobcem.</w:t>
      </w:r>
    </w:p>
    <w:p w14:paraId="33913942" w14:textId="572FCDAB" w:rsidR="0023205C" w:rsidRPr="00212293" w:rsidRDefault="0023205C" w:rsidP="007357CC">
      <w:pPr>
        <w:numPr>
          <w:ilvl w:val="0"/>
          <w:numId w:val="8"/>
        </w:numPr>
        <w:spacing w:before="120" w:after="0"/>
        <w:jc w:val="both"/>
        <w:rPr>
          <w:rFonts w:ascii="Arial" w:hAnsi="Arial" w:cs="Arial"/>
        </w:rPr>
      </w:pPr>
      <w:r w:rsidRPr="00212293">
        <w:rPr>
          <w:rFonts w:ascii="Arial" w:hAnsi="Arial" w:cs="Arial"/>
        </w:rPr>
        <w:t xml:space="preserve">Charakteristika: Tito dodavatelé poskytují suroviny, komponenty nebo polotovary dodavatelům prvního stupně. </w:t>
      </w:r>
      <w:r w:rsidR="00FD39E2" w:rsidRPr="00FD39E2">
        <w:rPr>
          <w:rFonts w:ascii="Arial" w:hAnsi="Arial" w:cs="Arial"/>
        </w:rPr>
        <w:t xml:space="preserve">Zajišťují díly nebo materiály, které jsou integrovány do větších komponent. </w:t>
      </w:r>
      <w:r w:rsidRPr="00212293">
        <w:rPr>
          <w:rFonts w:ascii="Arial" w:hAnsi="Arial" w:cs="Arial"/>
        </w:rPr>
        <w:t>Jejich role je často méně viditelná, ale důležitá pro hladký chod celého řetězce.</w:t>
      </w:r>
      <w:r w:rsidR="00FD39E2">
        <w:rPr>
          <w:rFonts w:ascii="Arial" w:hAnsi="Arial" w:cs="Arial"/>
        </w:rPr>
        <w:t xml:space="preserve"> </w:t>
      </w:r>
    </w:p>
    <w:p w14:paraId="0BDCE184" w14:textId="77777777" w:rsidR="0023205C" w:rsidRPr="00212293" w:rsidRDefault="0023205C" w:rsidP="007357CC">
      <w:pPr>
        <w:numPr>
          <w:ilvl w:val="0"/>
          <w:numId w:val="8"/>
        </w:numPr>
        <w:spacing w:before="120" w:after="0"/>
        <w:jc w:val="both"/>
        <w:rPr>
          <w:rFonts w:ascii="Arial" w:hAnsi="Arial" w:cs="Arial"/>
        </w:rPr>
      </w:pPr>
      <w:r w:rsidRPr="00212293">
        <w:rPr>
          <w:rFonts w:ascii="Arial" w:hAnsi="Arial" w:cs="Arial"/>
        </w:rPr>
        <w:t>Klíčové schopnosti: Efektivita a nákladová konkurenceschopnost, spolehlivé dodávky.</w:t>
      </w:r>
    </w:p>
    <w:p w14:paraId="33C44CCF" w14:textId="64244FD0" w:rsidR="0023205C" w:rsidRPr="00C9044A" w:rsidRDefault="0023205C" w:rsidP="007357CC">
      <w:pPr>
        <w:spacing w:before="120" w:after="0"/>
        <w:jc w:val="both"/>
        <w:rPr>
          <w:rFonts w:ascii="Arial" w:hAnsi="Arial" w:cs="Arial"/>
          <w:b/>
          <w:bCs/>
        </w:rPr>
      </w:pPr>
      <w:r w:rsidRPr="00C9044A">
        <w:rPr>
          <w:rFonts w:ascii="Arial" w:hAnsi="Arial" w:cs="Arial"/>
          <w:b/>
          <w:bCs/>
        </w:rPr>
        <w:lastRenderedPageBreak/>
        <w:t xml:space="preserve">Dodavatelé </w:t>
      </w:r>
      <w:r w:rsidR="00241AC1">
        <w:rPr>
          <w:rFonts w:ascii="Arial" w:hAnsi="Arial" w:cs="Arial"/>
          <w:b/>
          <w:bCs/>
        </w:rPr>
        <w:t>třetího</w:t>
      </w:r>
      <w:r w:rsidRPr="00C9044A">
        <w:rPr>
          <w:rFonts w:ascii="Arial" w:hAnsi="Arial" w:cs="Arial"/>
          <w:b/>
          <w:bCs/>
        </w:rPr>
        <w:t xml:space="preserve"> řádu</w:t>
      </w:r>
      <w:r w:rsidR="00FD39E2" w:rsidRPr="00BD47CA">
        <w:rPr>
          <w:rFonts w:ascii="Arial" w:hAnsi="Arial" w:cs="Arial"/>
        </w:rPr>
        <w:t xml:space="preserve"> </w:t>
      </w:r>
      <w:r w:rsidR="00BD47CA">
        <w:rPr>
          <w:rFonts w:ascii="Arial" w:hAnsi="Arial" w:cs="Arial"/>
        </w:rPr>
        <w:t>–</w:t>
      </w:r>
      <w:r w:rsidR="00FD39E2" w:rsidRPr="00BD47CA">
        <w:rPr>
          <w:rFonts w:ascii="Arial" w:hAnsi="Arial" w:cs="Arial"/>
        </w:rPr>
        <w:t xml:space="preserve"> </w:t>
      </w:r>
      <w:r w:rsidR="00B21AD1" w:rsidRPr="00BD47CA">
        <w:rPr>
          <w:rFonts w:ascii="Arial" w:hAnsi="Arial" w:cs="Arial"/>
        </w:rPr>
        <w:t>poskytují základní suroviny nebo jednoduché součástky, které se používají v dalších krocích výrobního řetězce. Jejich zákazníky jsou dodavatelé 2. řádu</w:t>
      </w:r>
      <w:r w:rsidR="00BD47CA" w:rsidRPr="00BD47CA">
        <w:rPr>
          <w:rFonts w:ascii="Arial" w:hAnsi="Arial" w:cs="Arial"/>
        </w:rPr>
        <w:t>.</w:t>
      </w:r>
      <w:r w:rsidR="00BD47CA">
        <w:rPr>
          <w:rFonts w:ascii="Arial" w:hAnsi="Arial" w:cs="Arial"/>
        </w:rPr>
        <w:t xml:space="preserve"> Tvoří základ výrobního řetězce.</w:t>
      </w:r>
    </w:p>
    <w:p w14:paraId="3CA4CB9A" w14:textId="69457D8A" w:rsidR="0023205C" w:rsidRPr="00212293" w:rsidRDefault="0023205C" w:rsidP="007357CC">
      <w:pPr>
        <w:numPr>
          <w:ilvl w:val="0"/>
          <w:numId w:val="12"/>
        </w:numPr>
        <w:spacing w:before="120" w:after="0"/>
        <w:jc w:val="both"/>
        <w:rPr>
          <w:rFonts w:ascii="Arial" w:hAnsi="Arial" w:cs="Arial"/>
        </w:rPr>
      </w:pPr>
      <w:r w:rsidRPr="00212293">
        <w:rPr>
          <w:rFonts w:ascii="Arial" w:hAnsi="Arial" w:cs="Arial"/>
        </w:rPr>
        <w:t>Charakteristika: Tyto firmy se zaměřují na výrobu nejjednodušších součástek. Obvykle jsou na okraji hodnotového řetězce a přispívají relativně nízkou hodnotou (například kvůli nízké úrovni technologie, jednoduchým výrobním procesům nebo omezenému přístupu ke zdrojům).</w:t>
      </w:r>
    </w:p>
    <w:p w14:paraId="50D77CE6" w14:textId="26325EE7" w:rsidR="0023205C" w:rsidRDefault="0023205C" w:rsidP="007357CC">
      <w:pPr>
        <w:numPr>
          <w:ilvl w:val="0"/>
          <w:numId w:val="9"/>
        </w:numPr>
        <w:spacing w:before="120" w:after="0"/>
        <w:jc w:val="both"/>
        <w:rPr>
          <w:rFonts w:ascii="Arial" w:hAnsi="Arial" w:cs="Arial"/>
        </w:rPr>
      </w:pPr>
      <w:r w:rsidRPr="00212293">
        <w:rPr>
          <w:rFonts w:ascii="Arial" w:hAnsi="Arial" w:cs="Arial"/>
        </w:rPr>
        <w:t>Klíčové schopnosti: Velmi efektivní výrobní procesy, zvládání velkoobjemových zakázek, kontrola nad náklady a nákladová konkurenceschopnost.</w:t>
      </w:r>
    </w:p>
    <w:p w14:paraId="6E6B6AF0" w14:textId="77777777" w:rsidR="009818E1" w:rsidRPr="009818E1" w:rsidRDefault="009818E1" w:rsidP="009818E1">
      <w:pPr>
        <w:spacing w:before="120" w:after="0"/>
        <w:jc w:val="both"/>
        <w:rPr>
          <w:rFonts w:ascii="Arial" w:hAnsi="Arial" w:cs="Arial"/>
        </w:rPr>
      </w:pPr>
      <w:r w:rsidRPr="009818E1">
        <w:rPr>
          <w:rFonts w:ascii="Arial" w:hAnsi="Arial" w:cs="Arial"/>
        </w:rPr>
        <w:t xml:space="preserve">Firmy v hodnotových řetězcích se mohou </w:t>
      </w:r>
      <w:r w:rsidRPr="009818E1">
        <w:rPr>
          <w:rFonts w:ascii="Arial" w:hAnsi="Arial" w:cs="Arial"/>
          <w:b/>
          <w:bCs/>
        </w:rPr>
        <w:t>lišit svou rolí a úrovní přidané hodnoty</w:t>
      </w:r>
      <w:r w:rsidRPr="009818E1">
        <w:rPr>
          <w:rFonts w:ascii="Arial" w:hAnsi="Arial" w:cs="Arial"/>
        </w:rPr>
        <w:t xml:space="preserve">, kterou přinášejí. Některé firmy (například vedoucí firmy) kontrolují většinu hodnoty a zisku, zatímco jiné (například montážní firmy) mohou fungovat s nižšími maržemi. </w:t>
      </w:r>
      <w:r w:rsidRPr="009818E1">
        <w:rPr>
          <w:rFonts w:ascii="Arial" w:hAnsi="Arial" w:cs="Arial"/>
          <w:b/>
          <w:bCs/>
        </w:rPr>
        <w:t>Schopnost firmy posunout se v hodnotovém řetězci směrem k větší přidané hodnotě</w:t>
      </w:r>
      <w:r w:rsidRPr="009818E1">
        <w:rPr>
          <w:rFonts w:ascii="Arial" w:hAnsi="Arial" w:cs="Arial"/>
        </w:rPr>
        <w:t xml:space="preserve"> (například prostřednictvím inovací nebo lepšího řízení) je klíčová pro její </w:t>
      </w:r>
      <w:r w:rsidRPr="009818E1">
        <w:rPr>
          <w:rFonts w:ascii="Arial" w:hAnsi="Arial" w:cs="Arial"/>
          <w:b/>
          <w:bCs/>
        </w:rPr>
        <w:t>dlouhodobý úspěch</w:t>
      </w:r>
      <w:r w:rsidRPr="009818E1">
        <w:rPr>
          <w:rFonts w:ascii="Arial" w:hAnsi="Arial" w:cs="Arial"/>
        </w:rPr>
        <w:t>.</w:t>
      </w:r>
    </w:p>
    <w:p w14:paraId="2A3CFA6D" w14:textId="6F540EA1" w:rsidR="00D45D01" w:rsidRPr="00D45D01" w:rsidRDefault="00D45D01" w:rsidP="00D45D01">
      <w:pPr>
        <w:spacing w:before="120" w:after="0"/>
        <w:jc w:val="both"/>
        <w:rPr>
          <w:rFonts w:ascii="Arial" w:hAnsi="Arial" w:cs="Arial"/>
        </w:rPr>
      </w:pPr>
      <w:r w:rsidRPr="00D45D01">
        <w:rPr>
          <w:rFonts w:ascii="Arial" w:hAnsi="Arial" w:cs="Arial"/>
        </w:rPr>
        <w:t xml:space="preserve">Firmy, které </w:t>
      </w:r>
      <w:r w:rsidRPr="00D45D01">
        <w:rPr>
          <w:rFonts w:ascii="Arial" w:hAnsi="Arial" w:cs="Arial"/>
          <w:b/>
          <w:bCs/>
        </w:rPr>
        <w:t>nejsou součástí globálních produkčních sí</w:t>
      </w:r>
      <w:r>
        <w:rPr>
          <w:rFonts w:ascii="Arial" w:hAnsi="Arial" w:cs="Arial"/>
          <w:b/>
          <w:bCs/>
        </w:rPr>
        <w:t>tí</w:t>
      </w:r>
      <w:r w:rsidRPr="00D45D01">
        <w:rPr>
          <w:rFonts w:ascii="Arial" w:hAnsi="Arial" w:cs="Arial"/>
        </w:rPr>
        <w:t xml:space="preserve">, se nacházejí mimo mezinárodní dodavatelské a výrobní sítě, které jsou typické pro globalizovanou ekonomiku. Tyto firmy mohou být rozděleny do dvou skupin podle toho, zda </w:t>
      </w:r>
      <w:r w:rsidRPr="00D45D01">
        <w:rPr>
          <w:rFonts w:ascii="Arial" w:hAnsi="Arial" w:cs="Arial"/>
          <w:b/>
          <w:bCs/>
        </w:rPr>
        <w:t>mají nebo nemají přístup na koncový trh</w:t>
      </w:r>
      <w:r w:rsidRPr="00D45D01">
        <w:rPr>
          <w:rFonts w:ascii="Arial" w:hAnsi="Arial" w:cs="Arial"/>
        </w:rPr>
        <w:t>. Každý z těchto typů má své specifické charakteristiky a klíčové schopnosti:</w:t>
      </w:r>
    </w:p>
    <w:p w14:paraId="797B0D07" w14:textId="323F5068" w:rsidR="00D45D01" w:rsidRPr="00D45D01" w:rsidRDefault="00D45D01" w:rsidP="00D45D01">
      <w:pPr>
        <w:spacing w:before="120" w:after="0"/>
        <w:jc w:val="both"/>
        <w:rPr>
          <w:rFonts w:ascii="Arial" w:hAnsi="Arial" w:cs="Arial"/>
        </w:rPr>
      </w:pPr>
      <w:r w:rsidRPr="00D45D01">
        <w:rPr>
          <w:rFonts w:ascii="Arial" w:hAnsi="Arial" w:cs="Arial"/>
          <w:b/>
          <w:bCs/>
        </w:rPr>
        <w:t>Firmy s přístupem na koncový trh</w:t>
      </w:r>
      <w:r w:rsidRPr="00D45D01">
        <w:rPr>
          <w:rFonts w:ascii="Arial" w:hAnsi="Arial" w:cs="Arial"/>
        </w:rPr>
        <w:t xml:space="preserve"> </w:t>
      </w:r>
      <w:r w:rsidR="00E467FB" w:rsidRPr="00E467FB">
        <w:rPr>
          <w:rFonts w:ascii="Arial" w:hAnsi="Arial" w:cs="Arial"/>
        </w:rPr>
        <w:t>–</w:t>
      </w:r>
      <w:r w:rsidRPr="00E467FB">
        <w:rPr>
          <w:rFonts w:ascii="Arial" w:hAnsi="Arial" w:cs="Arial"/>
        </w:rPr>
        <w:t xml:space="preserve"> </w:t>
      </w:r>
      <w:r w:rsidR="00E467FB" w:rsidRPr="00E467FB">
        <w:rPr>
          <w:rFonts w:ascii="Arial" w:hAnsi="Arial" w:cs="Arial"/>
        </w:rPr>
        <w:t>T</w:t>
      </w:r>
      <w:r w:rsidRPr="00D45D01">
        <w:rPr>
          <w:rFonts w:ascii="Arial" w:hAnsi="Arial" w:cs="Arial"/>
        </w:rPr>
        <w:t>yto firmy vyrábějí produkty, které se přímo prodávají koncovým spotřebitelům, aniž by byly zapojeny do mezinárodních výrobních a distribučních sítí.</w:t>
      </w:r>
    </w:p>
    <w:p w14:paraId="78748A10" w14:textId="486928D7" w:rsidR="00D45D01" w:rsidRPr="005334C1" w:rsidRDefault="00D45D01" w:rsidP="005334C1">
      <w:pPr>
        <w:pStyle w:val="Odstavecseseznamem"/>
        <w:numPr>
          <w:ilvl w:val="0"/>
          <w:numId w:val="22"/>
        </w:numPr>
        <w:spacing w:before="120" w:after="0"/>
        <w:jc w:val="both"/>
        <w:rPr>
          <w:rFonts w:ascii="Arial" w:hAnsi="Arial" w:cs="Arial"/>
        </w:rPr>
      </w:pPr>
      <w:r w:rsidRPr="00D223DF">
        <w:rPr>
          <w:rFonts w:ascii="Arial" w:hAnsi="Arial" w:cs="Arial"/>
        </w:rPr>
        <w:t>Charakteristik</w:t>
      </w:r>
      <w:r w:rsidR="00D223DF">
        <w:rPr>
          <w:rFonts w:ascii="Arial" w:hAnsi="Arial" w:cs="Arial"/>
        </w:rPr>
        <w:t>a</w:t>
      </w:r>
      <w:r w:rsidRPr="00D223DF">
        <w:rPr>
          <w:rFonts w:ascii="Arial" w:hAnsi="Arial" w:cs="Arial"/>
        </w:rPr>
        <w:t>:</w:t>
      </w:r>
      <w:r w:rsidR="00D223DF">
        <w:rPr>
          <w:rFonts w:ascii="Arial" w:hAnsi="Arial" w:cs="Arial"/>
        </w:rPr>
        <w:t xml:space="preserve"> </w:t>
      </w:r>
      <w:r w:rsidR="00E4714B">
        <w:rPr>
          <w:rFonts w:ascii="Arial" w:hAnsi="Arial" w:cs="Arial"/>
        </w:rPr>
        <w:t xml:space="preserve">Tyto firmy nejsou závislé na dodavatelském řetězci a </w:t>
      </w:r>
      <w:r w:rsidR="00E4714B" w:rsidRPr="00D45D01">
        <w:rPr>
          <w:rFonts w:ascii="Arial" w:hAnsi="Arial" w:cs="Arial"/>
        </w:rPr>
        <w:t>na spolupráci se zahraničními firmami v rámci G</w:t>
      </w:r>
      <w:r w:rsidR="00E4714B">
        <w:rPr>
          <w:rFonts w:ascii="Arial" w:hAnsi="Arial" w:cs="Arial"/>
        </w:rPr>
        <w:t>PN</w:t>
      </w:r>
      <w:r w:rsidR="00E4714B" w:rsidRPr="00D45D01">
        <w:rPr>
          <w:rFonts w:ascii="Arial" w:hAnsi="Arial" w:cs="Arial"/>
        </w:rPr>
        <w:t>.</w:t>
      </w:r>
      <w:r w:rsidR="00E4714B">
        <w:rPr>
          <w:rFonts w:ascii="Arial" w:hAnsi="Arial" w:cs="Arial"/>
        </w:rPr>
        <w:t xml:space="preserve"> Fi</w:t>
      </w:r>
      <w:r w:rsidR="00E4714B" w:rsidRPr="00D45D01">
        <w:rPr>
          <w:rFonts w:ascii="Arial" w:hAnsi="Arial" w:cs="Arial"/>
        </w:rPr>
        <w:t>rmy jsou schopné zvládat všechny nebo většinu výrobních procesů samostatně, od získávání surovin až po finální výrobu a distribuci.</w:t>
      </w:r>
      <w:r w:rsidR="00E4714B">
        <w:rPr>
          <w:rFonts w:ascii="Arial" w:hAnsi="Arial" w:cs="Arial"/>
        </w:rPr>
        <w:t xml:space="preserve"> Z</w:t>
      </w:r>
      <w:r w:rsidR="00E4714B" w:rsidRPr="00D45D01">
        <w:rPr>
          <w:rFonts w:ascii="Arial" w:hAnsi="Arial" w:cs="Arial"/>
        </w:rPr>
        <w:t>aměřuj</w:t>
      </w:r>
      <w:r w:rsidR="00E4714B">
        <w:rPr>
          <w:rFonts w:ascii="Arial" w:hAnsi="Arial" w:cs="Arial"/>
        </w:rPr>
        <w:t>í se</w:t>
      </w:r>
      <w:r w:rsidR="00E4714B" w:rsidRPr="00D45D01">
        <w:rPr>
          <w:rFonts w:ascii="Arial" w:hAnsi="Arial" w:cs="Arial"/>
        </w:rPr>
        <w:t xml:space="preserve"> na budování vlastní značky a přímou komunikaci se zákazníky</w:t>
      </w:r>
      <w:r w:rsidR="005334C1">
        <w:rPr>
          <w:rFonts w:ascii="Arial" w:hAnsi="Arial" w:cs="Arial"/>
        </w:rPr>
        <w:t xml:space="preserve"> bez nutnosti propojení v globální síti. </w:t>
      </w:r>
      <w:r w:rsidRPr="005334C1">
        <w:rPr>
          <w:rFonts w:ascii="Arial" w:hAnsi="Arial" w:cs="Arial"/>
        </w:rPr>
        <w:t>Často se zaměřují na domácí trh nebo specifické regionální trhy, kde mají dobré znalosti zákaznických preferencí a mohou rychle reagovat na změny poptávky.</w:t>
      </w:r>
    </w:p>
    <w:p w14:paraId="05941308" w14:textId="6D83B412" w:rsidR="00D45D01" w:rsidRPr="00D45D01" w:rsidRDefault="00D45D01" w:rsidP="00E64B15">
      <w:pPr>
        <w:pStyle w:val="Odstavecseseznamem"/>
        <w:numPr>
          <w:ilvl w:val="0"/>
          <w:numId w:val="19"/>
        </w:numPr>
        <w:spacing w:before="120" w:after="0"/>
        <w:jc w:val="both"/>
        <w:rPr>
          <w:rFonts w:ascii="Arial" w:hAnsi="Arial" w:cs="Arial"/>
        </w:rPr>
      </w:pPr>
      <w:r w:rsidRPr="005334C1">
        <w:rPr>
          <w:rFonts w:ascii="Arial" w:hAnsi="Arial" w:cs="Arial"/>
        </w:rPr>
        <w:t>Klíčové schopnosti:</w:t>
      </w:r>
      <w:r w:rsidR="005334C1" w:rsidRPr="005334C1">
        <w:rPr>
          <w:rFonts w:ascii="Arial" w:hAnsi="Arial" w:cs="Arial"/>
        </w:rPr>
        <w:t xml:space="preserve"> </w:t>
      </w:r>
      <w:r w:rsidRPr="00D45D01">
        <w:rPr>
          <w:rFonts w:ascii="Arial" w:hAnsi="Arial" w:cs="Arial"/>
        </w:rPr>
        <w:t>Schopnost efektivní výroby</w:t>
      </w:r>
      <w:r w:rsidR="005334C1" w:rsidRPr="00E467FB">
        <w:rPr>
          <w:rFonts w:ascii="Arial" w:hAnsi="Arial" w:cs="Arial"/>
        </w:rPr>
        <w:t>,</w:t>
      </w:r>
      <w:r w:rsidR="005334C1" w:rsidRPr="005334C1">
        <w:rPr>
          <w:rFonts w:ascii="Arial" w:hAnsi="Arial" w:cs="Arial"/>
          <w:b/>
          <w:bCs/>
        </w:rPr>
        <w:t xml:space="preserve"> </w:t>
      </w:r>
      <w:r w:rsidRPr="00D45D01">
        <w:rPr>
          <w:rFonts w:ascii="Arial" w:hAnsi="Arial" w:cs="Arial"/>
        </w:rPr>
        <w:t>flexibilní výrobní procesy, které</w:t>
      </w:r>
      <w:r w:rsidR="005334C1" w:rsidRPr="005334C1">
        <w:rPr>
          <w:rFonts w:ascii="Arial" w:hAnsi="Arial" w:cs="Arial"/>
        </w:rPr>
        <w:t xml:space="preserve"> </w:t>
      </w:r>
      <w:r w:rsidRPr="00D45D01">
        <w:rPr>
          <w:rFonts w:ascii="Arial" w:hAnsi="Arial" w:cs="Arial"/>
        </w:rPr>
        <w:t>umožňují rychle upravovat produkci podle aktuálních požadavků trh</w:t>
      </w:r>
      <w:r w:rsidR="005334C1" w:rsidRPr="005334C1">
        <w:rPr>
          <w:rFonts w:ascii="Arial" w:hAnsi="Arial" w:cs="Arial"/>
        </w:rPr>
        <w:t xml:space="preserve">u, </w:t>
      </w:r>
      <w:r w:rsidR="00E467FB" w:rsidRPr="00E467FB">
        <w:rPr>
          <w:rFonts w:ascii="Arial" w:hAnsi="Arial" w:cs="Arial"/>
        </w:rPr>
        <w:t>m</w:t>
      </w:r>
      <w:r w:rsidRPr="00D45D01">
        <w:rPr>
          <w:rFonts w:ascii="Arial" w:hAnsi="Arial" w:cs="Arial"/>
        </w:rPr>
        <w:t>arketing a distribuce</w:t>
      </w:r>
    </w:p>
    <w:p w14:paraId="5CE9D90D" w14:textId="07A58B52" w:rsidR="00D45D01" w:rsidRPr="00D45D01" w:rsidRDefault="00D45D01" w:rsidP="00D45D01">
      <w:pPr>
        <w:spacing w:before="120" w:after="0"/>
        <w:jc w:val="both"/>
        <w:rPr>
          <w:rFonts w:ascii="Arial" w:hAnsi="Arial" w:cs="Arial"/>
        </w:rPr>
      </w:pPr>
      <w:r w:rsidRPr="00D45D01">
        <w:rPr>
          <w:rFonts w:ascii="Arial" w:hAnsi="Arial" w:cs="Arial"/>
          <w:b/>
          <w:bCs/>
        </w:rPr>
        <w:t>Firmy bez přístupu na koncový trh</w:t>
      </w:r>
      <w:r w:rsidR="00E467FB">
        <w:rPr>
          <w:rFonts w:ascii="Arial" w:hAnsi="Arial" w:cs="Arial"/>
          <w:b/>
          <w:bCs/>
        </w:rPr>
        <w:t xml:space="preserve"> </w:t>
      </w:r>
      <w:r w:rsidR="00E467FB" w:rsidRPr="00E467FB">
        <w:rPr>
          <w:rFonts w:ascii="Arial" w:hAnsi="Arial" w:cs="Arial"/>
        </w:rPr>
        <w:t xml:space="preserve">– </w:t>
      </w:r>
      <w:r w:rsidRPr="00D45D01">
        <w:rPr>
          <w:rFonts w:ascii="Arial" w:hAnsi="Arial" w:cs="Arial"/>
        </w:rPr>
        <w:t>Tyto firmy se většinou specializují na výrobu či poskytování služeb, které jsou určeny pro další průmyslové využití, ale neúčastní se globálních produkčních sítí.</w:t>
      </w:r>
    </w:p>
    <w:p w14:paraId="1238B6D8" w14:textId="66D9F11F" w:rsidR="00D45D01" w:rsidRPr="00E467FB" w:rsidRDefault="00D45D01" w:rsidP="00E467FB">
      <w:pPr>
        <w:pStyle w:val="Odstavecseseznamem"/>
        <w:numPr>
          <w:ilvl w:val="0"/>
          <w:numId w:val="20"/>
        </w:numPr>
        <w:spacing w:before="120" w:after="0"/>
        <w:jc w:val="both"/>
        <w:rPr>
          <w:rFonts w:ascii="Arial" w:hAnsi="Arial" w:cs="Arial"/>
        </w:rPr>
      </w:pPr>
      <w:r w:rsidRPr="00E467FB">
        <w:rPr>
          <w:rFonts w:ascii="Arial" w:hAnsi="Arial" w:cs="Arial"/>
        </w:rPr>
        <w:t>Charakteristiky:</w:t>
      </w:r>
      <w:r w:rsidR="00E467FB">
        <w:rPr>
          <w:rFonts w:ascii="Arial" w:hAnsi="Arial" w:cs="Arial"/>
        </w:rPr>
        <w:t xml:space="preserve"> </w:t>
      </w:r>
      <w:r w:rsidR="00E467FB" w:rsidRPr="00D45D01">
        <w:rPr>
          <w:rFonts w:ascii="Arial" w:hAnsi="Arial" w:cs="Arial"/>
        </w:rPr>
        <w:t>Často se jedná o firmy, které vyrábějí díly nebo poskytují služby pro lokální průmysl</w:t>
      </w:r>
      <w:r w:rsidR="00E467FB">
        <w:rPr>
          <w:rFonts w:ascii="Arial" w:hAnsi="Arial" w:cs="Arial"/>
        </w:rPr>
        <w:t xml:space="preserve">. </w:t>
      </w:r>
      <w:r w:rsidR="00E467FB" w:rsidRPr="00D45D01">
        <w:rPr>
          <w:rFonts w:ascii="Arial" w:hAnsi="Arial" w:cs="Arial"/>
        </w:rPr>
        <w:t>Mohou se specializovat na subdodavatelskou činnost, ale obvykle pouze v rámci místního trhu.</w:t>
      </w:r>
      <w:r w:rsidR="002527C6">
        <w:rPr>
          <w:rFonts w:ascii="Arial" w:hAnsi="Arial" w:cs="Arial"/>
        </w:rPr>
        <w:t xml:space="preserve"> </w:t>
      </w:r>
      <w:r w:rsidR="002527C6" w:rsidRPr="00D45D01">
        <w:rPr>
          <w:rFonts w:ascii="Arial" w:hAnsi="Arial" w:cs="Arial"/>
        </w:rPr>
        <w:t>Tyto firmy obvykle nejsou orientované na export</w:t>
      </w:r>
      <w:r w:rsidR="002527C6">
        <w:rPr>
          <w:rFonts w:ascii="Arial" w:hAnsi="Arial" w:cs="Arial"/>
        </w:rPr>
        <w:t xml:space="preserve"> a b</w:t>
      </w:r>
      <w:r w:rsidR="002527C6" w:rsidRPr="00D45D01">
        <w:rPr>
          <w:rFonts w:ascii="Arial" w:hAnsi="Arial" w:cs="Arial"/>
        </w:rPr>
        <w:t>ez integrace do G</w:t>
      </w:r>
      <w:r w:rsidR="002527C6">
        <w:rPr>
          <w:rFonts w:ascii="Arial" w:hAnsi="Arial" w:cs="Arial"/>
        </w:rPr>
        <w:t>PN</w:t>
      </w:r>
      <w:r w:rsidR="002527C6" w:rsidRPr="00D45D01">
        <w:rPr>
          <w:rFonts w:ascii="Arial" w:hAnsi="Arial" w:cs="Arial"/>
        </w:rPr>
        <w:t xml:space="preserve"> mohou mít tyto firmy omezený přístup k nejnovějším technologiím a inovačním trendům</w:t>
      </w:r>
      <w:r w:rsidR="002527C6">
        <w:rPr>
          <w:rFonts w:ascii="Arial" w:hAnsi="Arial" w:cs="Arial"/>
        </w:rPr>
        <w:t>.</w:t>
      </w:r>
    </w:p>
    <w:p w14:paraId="73472CAD" w14:textId="6132E3D2" w:rsidR="00D45D01" w:rsidRPr="009818E1" w:rsidRDefault="00D45D01" w:rsidP="00D45D01">
      <w:pPr>
        <w:pStyle w:val="Odstavecseseznamem"/>
        <w:numPr>
          <w:ilvl w:val="0"/>
          <w:numId w:val="21"/>
        </w:numPr>
        <w:spacing w:before="120" w:after="0"/>
        <w:jc w:val="both"/>
        <w:rPr>
          <w:rFonts w:ascii="Arial" w:hAnsi="Arial" w:cs="Arial"/>
        </w:rPr>
      </w:pPr>
      <w:r w:rsidRPr="009818E1">
        <w:rPr>
          <w:rFonts w:ascii="Arial" w:hAnsi="Arial" w:cs="Arial"/>
        </w:rPr>
        <w:t>Klíčové schopnosti:</w:t>
      </w:r>
      <w:r w:rsidR="002527C6" w:rsidRPr="009818E1">
        <w:rPr>
          <w:rFonts w:ascii="Arial" w:hAnsi="Arial" w:cs="Arial"/>
        </w:rPr>
        <w:t xml:space="preserve"> </w:t>
      </w:r>
      <w:r w:rsidRPr="00D45D01">
        <w:rPr>
          <w:rFonts w:ascii="Arial" w:hAnsi="Arial" w:cs="Arial"/>
        </w:rPr>
        <w:t>Specializace a flexibilita</w:t>
      </w:r>
      <w:r w:rsidR="009818E1" w:rsidRPr="009818E1">
        <w:rPr>
          <w:rFonts w:ascii="Arial" w:hAnsi="Arial" w:cs="Arial"/>
        </w:rPr>
        <w:t xml:space="preserve">, </w:t>
      </w:r>
      <w:r w:rsidR="009818E1">
        <w:rPr>
          <w:rFonts w:ascii="Arial" w:hAnsi="Arial" w:cs="Arial"/>
        </w:rPr>
        <w:t>n</w:t>
      </w:r>
      <w:r w:rsidRPr="00D45D01">
        <w:rPr>
          <w:rFonts w:ascii="Arial" w:hAnsi="Arial" w:cs="Arial"/>
        </w:rPr>
        <w:t>ákladová efektivita</w:t>
      </w:r>
      <w:r w:rsidR="009818E1" w:rsidRPr="009818E1">
        <w:rPr>
          <w:rFonts w:ascii="Arial" w:hAnsi="Arial" w:cs="Arial"/>
        </w:rPr>
        <w:t xml:space="preserve">, </w:t>
      </w:r>
      <w:r w:rsidRPr="00D45D01">
        <w:rPr>
          <w:rFonts w:ascii="Arial" w:hAnsi="Arial" w:cs="Arial"/>
        </w:rPr>
        <w:t>efektivní řízení nákladů a optimalizaci procesů.</w:t>
      </w:r>
    </w:p>
    <w:p w14:paraId="0C89CB02" w14:textId="337B2D7E" w:rsidR="00D45D01" w:rsidRPr="00D45D01" w:rsidRDefault="00D45D01" w:rsidP="00D45D01">
      <w:pPr>
        <w:spacing w:before="120" w:after="0"/>
        <w:jc w:val="both"/>
        <w:rPr>
          <w:rFonts w:ascii="Arial" w:hAnsi="Arial" w:cs="Arial"/>
        </w:rPr>
      </w:pPr>
      <w:r w:rsidRPr="00D45D01">
        <w:rPr>
          <w:rFonts w:ascii="Arial" w:hAnsi="Arial" w:cs="Arial"/>
        </w:rPr>
        <w:t xml:space="preserve">Firmy mimo </w:t>
      </w:r>
      <w:r w:rsidR="009818E1">
        <w:rPr>
          <w:rFonts w:ascii="Arial" w:hAnsi="Arial" w:cs="Arial"/>
        </w:rPr>
        <w:t>GPN</w:t>
      </w:r>
      <w:r w:rsidRPr="00D45D01">
        <w:rPr>
          <w:rFonts w:ascii="Arial" w:hAnsi="Arial" w:cs="Arial"/>
        </w:rPr>
        <w:t xml:space="preserve"> se mohou velmi lišit. Ty </w:t>
      </w:r>
      <w:r w:rsidRPr="00D45D01">
        <w:rPr>
          <w:rFonts w:ascii="Arial" w:hAnsi="Arial" w:cs="Arial"/>
          <w:b/>
          <w:bCs/>
        </w:rPr>
        <w:t>s přístupem na koncový trh se vyznačují silným marketingem a orientací na značku</w:t>
      </w:r>
      <w:r w:rsidRPr="00D45D01">
        <w:rPr>
          <w:rFonts w:ascii="Arial" w:hAnsi="Arial" w:cs="Arial"/>
        </w:rPr>
        <w:t xml:space="preserve">, zatímco ty bez přístupu se specializují na specifické tržní mezery a lokální produkci. Klíčovými schopnostmi těchto firem jsou buď </w:t>
      </w:r>
      <w:r w:rsidRPr="00D45D01">
        <w:rPr>
          <w:rFonts w:ascii="Arial" w:hAnsi="Arial" w:cs="Arial"/>
          <w:b/>
          <w:bCs/>
        </w:rPr>
        <w:t>silné obchodní a distribuční kanály</w:t>
      </w:r>
      <w:r w:rsidRPr="00D45D01">
        <w:rPr>
          <w:rFonts w:ascii="Arial" w:hAnsi="Arial" w:cs="Arial"/>
        </w:rPr>
        <w:t xml:space="preserve">, nebo </w:t>
      </w:r>
      <w:r w:rsidRPr="00D45D01">
        <w:rPr>
          <w:rFonts w:ascii="Arial" w:hAnsi="Arial" w:cs="Arial"/>
          <w:b/>
          <w:bCs/>
        </w:rPr>
        <w:t>schopnost rychle přizpůsobit výrobu potřebám</w:t>
      </w:r>
      <w:r w:rsidRPr="00D45D01">
        <w:rPr>
          <w:rFonts w:ascii="Arial" w:hAnsi="Arial" w:cs="Arial"/>
        </w:rPr>
        <w:t xml:space="preserve"> lokálních zákazníků.</w:t>
      </w:r>
    </w:p>
    <w:p w14:paraId="4E6142F8" w14:textId="6EA9F14C" w:rsidR="009818E1" w:rsidRPr="00365237" w:rsidRDefault="009818E1" w:rsidP="00365237">
      <w:pPr>
        <w:pStyle w:val="Nadpis3"/>
        <w:numPr>
          <w:ilvl w:val="1"/>
          <w:numId w:val="27"/>
        </w:numPr>
        <w:ind w:left="426"/>
        <w:rPr>
          <w:rFonts w:ascii="Arial" w:hAnsi="Arial" w:cs="Arial"/>
          <w:b/>
          <w:bCs/>
          <w:color w:val="auto"/>
          <w:sz w:val="24"/>
          <w:szCs w:val="24"/>
        </w:rPr>
      </w:pPr>
      <w:bookmarkStart w:id="4" w:name="_Toc184799881"/>
      <w:r w:rsidRPr="00365237">
        <w:rPr>
          <w:rFonts w:ascii="Arial" w:hAnsi="Arial" w:cs="Arial"/>
          <w:b/>
          <w:bCs/>
          <w:color w:val="auto"/>
          <w:sz w:val="24"/>
          <w:szCs w:val="24"/>
        </w:rPr>
        <w:lastRenderedPageBreak/>
        <w:t>Hodnocení postavení vybraných subjektů v Plzeňském kraji v GPN</w:t>
      </w:r>
      <w:bookmarkEnd w:id="4"/>
    </w:p>
    <w:p w14:paraId="6AE3B2BD" w14:textId="4C628F50" w:rsidR="00A62025" w:rsidRDefault="00C240D8" w:rsidP="008D1872">
      <w:pPr>
        <w:spacing w:before="120"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Pro zařazení jednotlivých 218 subjektů </w:t>
      </w:r>
      <w:r w:rsidR="00340353">
        <w:rPr>
          <w:rFonts w:ascii="Arial" w:hAnsi="Arial" w:cs="Arial"/>
        </w:rPr>
        <w:t xml:space="preserve">na správnou pozici v produkčním řetězci bylo třeba </w:t>
      </w:r>
      <w:r w:rsidR="0021635D">
        <w:rPr>
          <w:rFonts w:ascii="Arial" w:hAnsi="Arial" w:cs="Arial"/>
        </w:rPr>
        <w:t xml:space="preserve">provést podrobnou analýzu struktury těchto podniků (viz </w:t>
      </w:r>
      <w:r w:rsidR="004901B7">
        <w:rPr>
          <w:rFonts w:ascii="Arial" w:hAnsi="Arial" w:cs="Arial"/>
        </w:rPr>
        <w:t>1. část</w:t>
      </w:r>
      <w:r w:rsidR="0021635D">
        <w:rPr>
          <w:rFonts w:ascii="Arial" w:hAnsi="Arial" w:cs="Arial"/>
        </w:rPr>
        <w:t xml:space="preserve">). Významnou roli pro </w:t>
      </w:r>
      <w:r w:rsidR="0021635D" w:rsidRPr="00D73D0C">
        <w:rPr>
          <w:rFonts w:ascii="Arial" w:hAnsi="Arial" w:cs="Arial"/>
          <w:b/>
          <w:bCs/>
        </w:rPr>
        <w:t>stanovení pozice</w:t>
      </w:r>
      <w:r w:rsidR="009C1CCB" w:rsidRPr="00D73D0C">
        <w:rPr>
          <w:rFonts w:ascii="Arial" w:hAnsi="Arial" w:cs="Arial"/>
          <w:b/>
          <w:bCs/>
        </w:rPr>
        <w:t>, jakou daný subjekt zaujímá</w:t>
      </w:r>
      <w:r w:rsidR="009C1CCB">
        <w:rPr>
          <w:rFonts w:ascii="Arial" w:hAnsi="Arial" w:cs="Arial"/>
        </w:rPr>
        <w:t xml:space="preserve">, hrají </w:t>
      </w:r>
      <w:r w:rsidR="00F55021">
        <w:rPr>
          <w:rFonts w:ascii="Arial" w:hAnsi="Arial" w:cs="Arial"/>
        </w:rPr>
        <w:t xml:space="preserve">zejména </w:t>
      </w:r>
      <w:r w:rsidR="009C1CCB">
        <w:rPr>
          <w:rFonts w:ascii="Arial" w:hAnsi="Arial" w:cs="Arial"/>
        </w:rPr>
        <w:t>následující faktory:</w:t>
      </w:r>
    </w:p>
    <w:p w14:paraId="36C1765F" w14:textId="2EE39F97" w:rsidR="009C1CCB" w:rsidRDefault="008C2A71" w:rsidP="008D1872">
      <w:pPr>
        <w:pStyle w:val="Odstavecseseznamem"/>
        <w:numPr>
          <w:ilvl w:val="0"/>
          <w:numId w:val="20"/>
        </w:numPr>
        <w:spacing w:before="120" w:after="0"/>
        <w:jc w:val="both"/>
        <w:rPr>
          <w:rFonts w:ascii="Arial" w:hAnsi="Arial" w:cs="Arial"/>
        </w:rPr>
      </w:pPr>
      <w:r w:rsidRPr="008C2A71">
        <w:rPr>
          <w:rFonts w:ascii="Arial" w:hAnsi="Arial" w:cs="Arial"/>
        </w:rPr>
        <w:t>Typ produktů, které firma poskytuje</w:t>
      </w:r>
      <w:r>
        <w:rPr>
          <w:rFonts w:ascii="Arial" w:hAnsi="Arial" w:cs="Arial"/>
        </w:rPr>
        <w:t xml:space="preserve"> a jejich komplexnost</w:t>
      </w:r>
      <w:r w:rsidR="00052401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přidaná hodnota</w:t>
      </w:r>
      <w:r w:rsidR="00052401">
        <w:rPr>
          <w:rFonts w:ascii="Arial" w:hAnsi="Arial" w:cs="Arial"/>
        </w:rPr>
        <w:t xml:space="preserve"> a stupeň zpracování</w:t>
      </w:r>
      <w:r w:rsidR="00502E9D">
        <w:rPr>
          <w:rFonts w:ascii="Arial" w:hAnsi="Arial" w:cs="Arial"/>
        </w:rPr>
        <w:t>,</w:t>
      </w:r>
    </w:p>
    <w:p w14:paraId="016A006B" w14:textId="5A32FEE8" w:rsidR="008C2A71" w:rsidRDefault="00E34C18" w:rsidP="008D1872">
      <w:pPr>
        <w:pStyle w:val="Odstavecseseznamem"/>
        <w:numPr>
          <w:ilvl w:val="0"/>
          <w:numId w:val="20"/>
        </w:numPr>
        <w:spacing w:before="120"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Komplexnost a specializace výrobních procesů</w:t>
      </w:r>
      <w:r w:rsidR="00052401">
        <w:rPr>
          <w:rFonts w:ascii="Arial" w:hAnsi="Arial" w:cs="Arial"/>
        </w:rPr>
        <w:t>, specifi</w:t>
      </w:r>
      <w:r w:rsidR="001C3707">
        <w:rPr>
          <w:rFonts w:ascii="Arial" w:hAnsi="Arial" w:cs="Arial"/>
        </w:rPr>
        <w:t>ta</w:t>
      </w:r>
      <w:r w:rsidR="00052401">
        <w:rPr>
          <w:rFonts w:ascii="Arial" w:hAnsi="Arial" w:cs="Arial"/>
        </w:rPr>
        <w:t xml:space="preserve"> výrobků</w:t>
      </w:r>
      <w:r w:rsidR="00502E9D">
        <w:rPr>
          <w:rFonts w:ascii="Arial" w:hAnsi="Arial" w:cs="Arial"/>
        </w:rPr>
        <w:t>,</w:t>
      </w:r>
    </w:p>
    <w:p w14:paraId="53995922" w14:textId="39A362F1" w:rsidR="00B15904" w:rsidRDefault="001F4AD9" w:rsidP="008D1872">
      <w:pPr>
        <w:pStyle w:val="Odstavecseseznamem"/>
        <w:numPr>
          <w:ilvl w:val="0"/>
          <w:numId w:val="20"/>
        </w:numPr>
        <w:spacing w:before="120"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Technologická a inovační kapacita</w:t>
      </w:r>
      <w:r w:rsidR="00502E9D">
        <w:rPr>
          <w:rFonts w:ascii="Arial" w:hAnsi="Arial" w:cs="Arial"/>
        </w:rPr>
        <w:t>,</w:t>
      </w:r>
    </w:p>
    <w:p w14:paraId="621E5A5A" w14:textId="4C1777EA" w:rsidR="00052401" w:rsidRDefault="00B15904" w:rsidP="008D1872">
      <w:pPr>
        <w:pStyle w:val="Odstavecseseznamem"/>
        <w:numPr>
          <w:ilvl w:val="0"/>
          <w:numId w:val="20"/>
        </w:numPr>
        <w:spacing w:before="120"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S</w:t>
      </w:r>
      <w:r w:rsidR="001F4AD9">
        <w:rPr>
          <w:rFonts w:ascii="Arial" w:hAnsi="Arial" w:cs="Arial"/>
        </w:rPr>
        <w:t>chopnost přizpůsobit produkty</w:t>
      </w:r>
      <w:r>
        <w:rPr>
          <w:rFonts w:ascii="Arial" w:hAnsi="Arial" w:cs="Arial"/>
        </w:rPr>
        <w:t xml:space="preserve"> či celkovou strategii</w:t>
      </w:r>
      <w:r w:rsidR="00502E9D">
        <w:rPr>
          <w:rFonts w:ascii="Arial" w:hAnsi="Arial" w:cs="Arial"/>
        </w:rPr>
        <w:t>,</w:t>
      </w:r>
    </w:p>
    <w:p w14:paraId="24C81A1A" w14:textId="3B6026F9" w:rsidR="00CE1A37" w:rsidRDefault="00CE1A37" w:rsidP="008D1872">
      <w:pPr>
        <w:pStyle w:val="Odstavecseseznamem"/>
        <w:numPr>
          <w:ilvl w:val="0"/>
          <w:numId w:val="20"/>
        </w:numPr>
        <w:spacing w:before="120"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Ekonomická síla a velikost firmy</w:t>
      </w:r>
      <w:r w:rsidR="00502E9D">
        <w:rPr>
          <w:rFonts w:ascii="Arial" w:hAnsi="Arial" w:cs="Arial"/>
        </w:rPr>
        <w:t>,</w:t>
      </w:r>
    </w:p>
    <w:p w14:paraId="3A52A1BB" w14:textId="72C3E590" w:rsidR="00CE1A37" w:rsidRDefault="00CE1A37" w:rsidP="008D1872">
      <w:pPr>
        <w:pStyle w:val="Odstavecseseznamem"/>
        <w:numPr>
          <w:ilvl w:val="0"/>
          <w:numId w:val="20"/>
        </w:numPr>
        <w:spacing w:before="120"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Přístup na koncový trh</w:t>
      </w:r>
      <w:r w:rsidR="008D1872">
        <w:rPr>
          <w:rFonts w:ascii="Arial" w:hAnsi="Arial" w:cs="Arial"/>
        </w:rPr>
        <w:t xml:space="preserve"> a vztah se zákazníky</w:t>
      </w:r>
      <w:r w:rsidR="00502E9D">
        <w:rPr>
          <w:rFonts w:ascii="Arial" w:hAnsi="Arial" w:cs="Arial"/>
        </w:rPr>
        <w:t>,</w:t>
      </w:r>
    </w:p>
    <w:p w14:paraId="7F498624" w14:textId="604AAD9C" w:rsidR="00502E9D" w:rsidRDefault="00502E9D" w:rsidP="008D1872">
      <w:pPr>
        <w:pStyle w:val="Odstavecseseznamem"/>
        <w:numPr>
          <w:ilvl w:val="0"/>
          <w:numId w:val="20"/>
        </w:numPr>
        <w:spacing w:before="120"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Vlastnictví a míra autonomie.</w:t>
      </w:r>
    </w:p>
    <w:p w14:paraId="348AD1EF" w14:textId="0BA1DB05" w:rsidR="008D1872" w:rsidRPr="008D1872" w:rsidRDefault="00F55021" w:rsidP="008D1872">
      <w:pPr>
        <w:spacing w:before="120" w:after="0"/>
        <w:jc w:val="both"/>
        <w:rPr>
          <w:rFonts w:ascii="Arial" w:hAnsi="Arial" w:cs="Arial"/>
        </w:rPr>
      </w:pPr>
      <w:r w:rsidRPr="00F55021">
        <w:rPr>
          <w:rFonts w:ascii="Arial" w:hAnsi="Arial" w:cs="Arial"/>
        </w:rPr>
        <w:t xml:space="preserve">Tyto faktory společně určují, jakou pozici firma v produkčním řetězci zaujme. Každá pozice má své výhody i nevýhody, včetně </w:t>
      </w:r>
      <w:r w:rsidRPr="00D73D0C">
        <w:rPr>
          <w:rFonts w:ascii="Arial" w:hAnsi="Arial" w:cs="Arial"/>
          <w:b/>
          <w:bCs/>
        </w:rPr>
        <w:t>úrovně kontroly, odpovědnosti a schopnosti ovlivňovat výsledný produkt</w:t>
      </w:r>
      <w:r w:rsidR="00732BD3" w:rsidRPr="00732BD3">
        <w:rPr>
          <w:rFonts w:ascii="Arial" w:hAnsi="Arial" w:cs="Arial"/>
        </w:rPr>
        <w:t>,</w:t>
      </w:r>
      <w:r w:rsidRPr="00D73D0C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</w:rPr>
        <w:t xml:space="preserve">ale také </w:t>
      </w:r>
      <w:r w:rsidR="00B34240">
        <w:rPr>
          <w:rFonts w:ascii="Arial" w:hAnsi="Arial" w:cs="Arial"/>
        </w:rPr>
        <w:t xml:space="preserve">jaký je </w:t>
      </w:r>
      <w:r w:rsidR="00B34240" w:rsidRPr="00D73D0C">
        <w:rPr>
          <w:rFonts w:ascii="Arial" w:hAnsi="Arial" w:cs="Arial"/>
          <w:b/>
          <w:bCs/>
        </w:rPr>
        <w:t>vztah k ostatním účastníkům</w:t>
      </w:r>
      <w:r w:rsidR="00B34240" w:rsidRPr="00B34240">
        <w:rPr>
          <w:rFonts w:ascii="Arial" w:hAnsi="Arial" w:cs="Arial"/>
        </w:rPr>
        <w:t xml:space="preserve"> v rámci hodnotového řetězce</w:t>
      </w:r>
      <w:r w:rsidRPr="00F55021">
        <w:rPr>
          <w:rFonts w:ascii="Arial" w:hAnsi="Arial" w:cs="Arial"/>
        </w:rPr>
        <w:t>.</w:t>
      </w:r>
    </w:p>
    <w:p w14:paraId="533354F1" w14:textId="2F6AD529" w:rsidR="00547BC8" w:rsidRPr="0086466C" w:rsidRDefault="008143EC" w:rsidP="00BD47CA">
      <w:pPr>
        <w:spacing w:before="120"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Prvním krokem bylo </w:t>
      </w:r>
      <w:r w:rsidR="00446953">
        <w:rPr>
          <w:rFonts w:ascii="Arial" w:hAnsi="Arial" w:cs="Arial"/>
        </w:rPr>
        <w:t xml:space="preserve">určit, zda je daná firma </w:t>
      </w:r>
      <w:r w:rsidR="00446953" w:rsidRPr="00D73D0C">
        <w:rPr>
          <w:rFonts w:ascii="Arial" w:hAnsi="Arial" w:cs="Arial"/>
          <w:b/>
          <w:bCs/>
        </w:rPr>
        <w:t>součástí produkční</w:t>
      </w:r>
      <w:r w:rsidR="007E51D9" w:rsidRPr="00D73D0C">
        <w:rPr>
          <w:rFonts w:ascii="Arial" w:hAnsi="Arial" w:cs="Arial"/>
          <w:b/>
          <w:bCs/>
        </w:rPr>
        <w:t>ho</w:t>
      </w:r>
      <w:r w:rsidR="00446953" w:rsidRPr="00D73D0C">
        <w:rPr>
          <w:rFonts w:ascii="Arial" w:hAnsi="Arial" w:cs="Arial"/>
          <w:b/>
          <w:bCs/>
        </w:rPr>
        <w:t xml:space="preserve"> řetězce </w:t>
      </w:r>
      <w:r w:rsidR="00446953" w:rsidRPr="00D73D0C">
        <w:rPr>
          <w:rFonts w:ascii="Arial" w:hAnsi="Arial" w:cs="Arial"/>
        </w:rPr>
        <w:t xml:space="preserve">nebo </w:t>
      </w:r>
      <w:r w:rsidR="007E51D9" w:rsidRPr="00D73D0C">
        <w:rPr>
          <w:rFonts w:ascii="Arial" w:hAnsi="Arial" w:cs="Arial"/>
        </w:rPr>
        <w:t>je zcela</w:t>
      </w:r>
      <w:r w:rsidR="007E51D9" w:rsidRPr="00D73D0C">
        <w:rPr>
          <w:rFonts w:ascii="Arial" w:hAnsi="Arial" w:cs="Arial"/>
          <w:b/>
          <w:bCs/>
        </w:rPr>
        <w:t xml:space="preserve"> mimo </w:t>
      </w:r>
      <w:r w:rsidR="00D73D0C">
        <w:rPr>
          <w:rFonts w:ascii="Arial" w:hAnsi="Arial" w:cs="Arial"/>
          <w:b/>
          <w:bCs/>
        </w:rPr>
        <w:t>GPN</w:t>
      </w:r>
      <w:r w:rsidR="007E51D9">
        <w:rPr>
          <w:rFonts w:ascii="Arial" w:hAnsi="Arial" w:cs="Arial"/>
        </w:rPr>
        <w:t xml:space="preserve">. </w:t>
      </w:r>
      <w:r w:rsidR="002460F0">
        <w:rPr>
          <w:rFonts w:ascii="Arial" w:hAnsi="Arial" w:cs="Arial"/>
        </w:rPr>
        <w:t xml:space="preserve">Z 218 subjektů je </w:t>
      </w:r>
      <w:r w:rsidR="00B016A8">
        <w:rPr>
          <w:rFonts w:ascii="Arial" w:hAnsi="Arial" w:cs="Arial"/>
        </w:rPr>
        <w:t xml:space="preserve">jich </w:t>
      </w:r>
      <w:r w:rsidR="002460F0">
        <w:rPr>
          <w:rFonts w:ascii="Arial" w:hAnsi="Arial" w:cs="Arial"/>
        </w:rPr>
        <w:t>mimo GPN 102</w:t>
      </w:r>
      <w:r w:rsidR="00B016A8">
        <w:rPr>
          <w:rFonts w:ascii="Arial" w:hAnsi="Arial" w:cs="Arial"/>
        </w:rPr>
        <w:t xml:space="preserve">. </w:t>
      </w:r>
      <w:r w:rsidR="00D73D0C" w:rsidRPr="00D73D0C">
        <w:rPr>
          <w:rFonts w:ascii="Arial" w:hAnsi="Arial" w:cs="Arial"/>
          <w:b/>
          <w:bCs/>
        </w:rPr>
        <w:t>Většina</w:t>
      </w:r>
      <w:r w:rsidR="00D73D0C">
        <w:rPr>
          <w:rFonts w:ascii="Arial" w:hAnsi="Arial" w:cs="Arial"/>
        </w:rPr>
        <w:t xml:space="preserve"> z nich</w:t>
      </w:r>
      <w:r w:rsidR="00B016A8">
        <w:rPr>
          <w:rFonts w:ascii="Arial" w:hAnsi="Arial" w:cs="Arial"/>
        </w:rPr>
        <w:t xml:space="preserve"> (73) </w:t>
      </w:r>
      <w:r w:rsidR="00D73D0C" w:rsidRPr="00D73D0C">
        <w:rPr>
          <w:rFonts w:ascii="Arial" w:hAnsi="Arial" w:cs="Arial"/>
          <w:b/>
          <w:bCs/>
        </w:rPr>
        <w:t xml:space="preserve">má </w:t>
      </w:r>
      <w:r w:rsidR="00B016A8" w:rsidRPr="00D73D0C">
        <w:rPr>
          <w:rFonts w:ascii="Arial" w:hAnsi="Arial" w:cs="Arial"/>
          <w:b/>
          <w:bCs/>
        </w:rPr>
        <w:t>přístup na koncový trh</w:t>
      </w:r>
      <w:r w:rsidR="00B016A8">
        <w:rPr>
          <w:rFonts w:ascii="Arial" w:hAnsi="Arial" w:cs="Arial"/>
        </w:rPr>
        <w:t xml:space="preserve">, zbývajících 29 subjektů je však mimo jakékoliv produkční sítě a ani </w:t>
      </w:r>
      <w:r w:rsidR="00B016A8" w:rsidRPr="0086466C">
        <w:rPr>
          <w:rFonts w:ascii="Arial" w:hAnsi="Arial" w:cs="Arial"/>
        </w:rPr>
        <w:t xml:space="preserve">nemá jasně </w:t>
      </w:r>
      <w:r w:rsidR="00C929F2" w:rsidRPr="0086466C">
        <w:rPr>
          <w:rFonts w:ascii="Arial" w:hAnsi="Arial" w:cs="Arial"/>
        </w:rPr>
        <w:t>ukotvený přístup na koncový trh.</w:t>
      </w:r>
      <w:r w:rsidR="00547BC8" w:rsidRPr="0086466C">
        <w:rPr>
          <w:rFonts w:ascii="Arial" w:hAnsi="Arial" w:cs="Arial"/>
        </w:rPr>
        <w:t xml:space="preserve"> </w:t>
      </w:r>
      <w:r w:rsidR="00C929F2" w:rsidRPr="0086466C">
        <w:rPr>
          <w:rFonts w:ascii="Arial" w:hAnsi="Arial" w:cs="Arial"/>
        </w:rPr>
        <w:t xml:space="preserve">Ostatních </w:t>
      </w:r>
      <w:r w:rsidR="00547BC8" w:rsidRPr="0086466C">
        <w:rPr>
          <w:rFonts w:ascii="Arial" w:hAnsi="Arial" w:cs="Arial"/>
          <w:b/>
          <w:bCs/>
        </w:rPr>
        <w:t>116</w:t>
      </w:r>
      <w:r w:rsidR="00935D9E" w:rsidRPr="0086466C">
        <w:rPr>
          <w:rFonts w:ascii="Arial" w:hAnsi="Arial" w:cs="Arial"/>
          <w:b/>
          <w:bCs/>
        </w:rPr>
        <w:t xml:space="preserve"> </w:t>
      </w:r>
      <w:r w:rsidR="00547BC8" w:rsidRPr="0086466C">
        <w:rPr>
          <w:rFonts w:ascii="Arial" w:hAnsi="Arial" w:cs="Arial"/>
          <w:b/>
          <w:bCs/>
        </w:rPr>
        <w:t>firem je zapojeno do GPN</w:t>
      </w:r>
      <w:r w:rsidR="00B06DF2" w:rsidRPr="0086466C">
        <w:rPr>
          <w:rFonts w:ascii="Arial" w:hAnsi="Arial" w:cs="Arial"/>
        </w:rPr>
        <w:t xml:space="preserve"> – vše viz graf 1</w:t>
      </w:r>
      <w:r w:rsidR="004B2CF5" w:rsidRPr="0086466C">
        <w:rPr>
          <w:rFonts w:ascii="Arial" w:hAnsi="Arial" w:cs="Arial"/>
        </w:rPr>
        <w:t>7</w:t>
      </w:r>
      <w:r w:rsidR="00B06DF2" w:rsidRPr="0086466C">
        <w:rPr>
          <w:rFonts w:ascii="Arial" w:hAnsi="Arial" w:cs="Arial"/>
        </w:rPr>
        <w:t>.</w:t>
      </w:r>
    </w:p>
    <w:p w14:paraId="76408A58" w14:textId="77777777" w:rsidR="00070FB9" w:rsidRPr="0086466C" w:rsidRDefault="00B06DF2" w:rsidP="00BD47CA">
      <w:pPr>
        <w:spacing w:before="120" w:after="0"/>
        <w:jc w:val="both"/>
        <w:rPr>
          <w:rFonts w:ascii="Arial" w:hAnsi="Arial" w:cs="Arial"/>
        </w:rPr>
      </w:pPr>
      <w:r w:rsidRPr="0086466C">
        <w:rPr>
          <w:noProof/>
        </w:rPr>
        <w:drawing>
          <wp:anchor distT="0" distB="0" distL="114300" distR="114300" simplePos="0" relativeHeight="251658240" behindDoc="0" locked="0" layoutInCell="1" allowOverlap="1" wp14:anchorId="253E700F" wp14:editId="16DB99C6">
            <wp:simplePos x="0" y="0"/>
            <wp:positionH relativeFrom="margin">
              <wp:align>right</wp:align>
            </wp:positionH>
            <wp:positionV relativeFrom="paragraph">
              <wp:posOffset>86995</wp:posOffset>
            </wp:positionV>
            <wp:extent cx="3880485" cy="2790825"/>
            <wp:effectExtent l="0" t="0" r="5715" b="9525"/>
            <wp:wrapSquare wrapText="bothSides"/>
            <wp:docPr id="672237383" name="Graf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600-000007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47BC8" w:rsidRPr="0086466C">
        <w:rPr>
          <w:rFonts w:ascii="Arial" w:hAnsi="Arial" w:cs="Arial"/>
        </w:rPr>
        <w:t xml:space="preserve">Mezi všemi </w:t>
      </w:r>
      <w:r w:rsidR="00935D9E" w:rsidRPr="0086466C">
        <w:rPr>
          <w:rFonts w:ascii="Arial" w:hAnsi="Arial" w:cs="Arial"/>
        </w:rPr>
        <w:t xml:space="preserve">subjekty v Plzeňském kraji byly identifikovány </w:t>
      </w:r>
      <w:r w:rsidR="00935D9E" w:rsidRPr="0086466C">
        <w:rPr>
          <w:rFonts w:ascii="Arial" w:hAnsi="Arial" w:cs="Arial"/>
          <w:b/>
          <w:bCs/>
        </w:rPr>
        <w:t>pouze 3 zastávající pozici vedoucí firmy</w:t>
      </w:r>
      <w:r w:rsidR="00935D9E" w:rsidRPr="0086466C">
        <w:rPr>
          <w:rFonts w:ascii="Arial" w:hAnsi="Arial" w:cs="Arial"/>
        </w:rPr>
        <w:t xml:space="preserve"> (integrátora)</w:t>
      </w:r>
      <w:r w:rsidR="00502E9D" w:rsidRPr="0086466C">
        <w:rPr>
          <w:rFonts w:ascii="Arial" w:hAnsi="Arial" w:cs="Arial"/>
        </w:rPr>
        <w:t xml:space="preserve">. </w:t>
      </w:r>
      <w:r w:rsidR="00897BBC" w:rsidRPr="0086466C">
        <w:rPr>
          <w:rFonts w:ascii="Arial" w:hAnsi="Arial" w:cs="Arial"/>
        </w:rPr>
        <w:t xml:space="preserve">Dalších 24 firem sice plní vedoucí roli, ovšem jedná se o </w:t>
      </w:r>
      <w:r w:rsidR="00897BBC" w:rsidRPr="0086466C">
        <w:rPr>
          <w:rFonts w:ascii="Arial" w:hAnsi="Arial" w:cs="Arial"/>
          <w:b/>
          <w:bCs/>
        </w:rPr>
        <w:t xml:space="preserve">pobočky zahraničních </w:t>
      </w:r>
      <w:r w:rsidR="00A07A5E" w:rsidRPr="0086466C">
        <w:rPr>
          <w:rFonts w:ascii="Arial" w:hAnsi="Arial" w:cs="Arial"/>
          <w:b/>
          <w:bCs/>
        </w:rPr>
        <w:t>vedoucích firem</w:t>
      </w:r>
      <w:r w:rsidR="00A07A5E" w:rsidRPr="0086466C">
        <w:rPr>
          <w:rFonts w:ascii="Arial" w:hAnsi="Arial" w:cs="Arial"/>
        </w:rPr>
        <w:t xml:space="preserve">, které jsou na své mateřské společnosti do určité míry závislé a mají slabší rozhodovací pravomoc. </w:t>
      </w:r>
    </w:p>
    <w:p w14:paraId="55ABED31" w14:textId="4DD542CF" w:rsidR="009C1CCB" w:rsidRPr="0086466C" w:rsidRDefault="008665F4" w:rsidP="00BD47CA">
      <w:pPr>
        <w:spacing w:before="120" w:after="0"/>
        <w:jc w:val="both"/>
        <w:rPr>
          <w:rFonts w:ascii="Arial" w:hAnsi="Arial" w:cs="Arial"/>
        </w:rPr>
      </w:pPr>
      <w:r w:rsidRPr="0086466C">
        <w:rPr>
          <w:rFonts w:ascii="Arial" w:hAnsi="Arial" w:cs="Arial"/>
          <w:b/>
          <w:bCs/>
        </w:rPr>
        <w:t>Dodavatelských subjektů</w:t>
      </w:r>
      <w:r w:rsidRPr="0086466C">
        <w:rPr>
          <w:rFonts w:ascii="Arial" w:hAnsi="Arial" w:cs="Arial"/>
        </w:rPr>
        <w:t xml:space="preserve"> </w:t>
      </w:r>
      <w:r w:rsidR="00B06DF2" w:rsidRPr="0086466C">
        <w:rPr>
          <w:rFonts w:ascii="Arial" w:hAnsi="Arial" w:cs="Arial"/>
        </w:rPr>
        <w:t xml:space="preserve">je celkem 89, nejvíce z nich je pak na nižších pozicích dodavatelů 3. a 2. řádu. </w:t>
      </w:r>
      <w:r w:rsidR="0051743E" w:rsidRPr="0086466C">
        <w:rPr>
          <w:rFonts w:ascii="Arial" w:hAnsi="Arial" w:cs="Arial"/>
        </w:rPr>
        <w:t xml:space="preserve">Postavení těchto subjektů v GPN není příliš silné a jejich míra vlivu na celkový řetězec je </w:t>
      </w:r>
      <w:r w:rsidR="000C433F" w:rsidRPr="0086466C">
        <w:rPr>
          <w:rFonts w:ascii="Arial" w:hAnsi="Arial" w:cs="Arial"/>
        </w:rPr>
        <w:t xml:space="preserve">značně omezená. </w:t>
      </w:r>
      <w:r w:rsidR="00B06DF2" w:rsidRPr="0086466C">
        <w:rPr>
          <w:rFonts w:ascii="Arial" w:hAnsi="Arial" w:cs="Arial"/>
        </w:rPr>
        <w:t>Pouze 14 subjektů jsou dodavatelé 1. řádu</w:t>
      </w:r>
      <w:r w:rsidR="003D2A14" w:rsidRPr="0086466C">
        <w:rPr>
          <w:rFonts w:ascii="Arial" w:hAnsi="Arial" w:cs="Arial"/>
        </w:rPr>
        <w:t>, kteří mají dostate</w:t>
      </w:r>
      <w:r w:rsidR="000C433F" w:rsidRPr="0086466C">
        <w:rPr>
          <w:rFonts w:ascii="Arial" w:hAnsi="Arial" w:cs="Arial"/>
        </w:rPr>
        <w:t>čně silné postavení na to, aby byl</w:t>
      </w:r>
      <w:r w:rsidR="00243753" w:rsidRPr="0086466C">
        <w:rPr>
          <w:rFonts w:ascii="Arial" w:hAnsi="Arial" w:cs="Arial"/>
        </w:rPr>
        <w:t>i</w:t>
      </w:r>
      <w:r w:rsidR="000C433F" w:rsidRPr="0086466C">
        <w:rPr>
          <w:rFonts w:ascii="Arial" w:hAnsi="Arial" w:cs="Arial"/>
        </w:rPr>
        <w:t xml:space="preserve"> hlavními hybateli trhu</w:t>
      </w:r>
      <w:r w:rsidR="00872820" w:rsidRPr="0086466C">
        <w:rPr>
          <w:rFonts w:ascii="Arial" w:hAnsi="Arial" w:cs="Arial"/>
        </w:rPr>
        <w:t>.</w:t>
      </w:r>
    </w:p>
    <w:p w14:paraId="4844EA67" w14:textId="10734A3B" w:rsidR="00F74C11" w:rsidRPr="0086466C" w:rsidRDefault="00AF1E9B" w:rsidP="00BD47CA">
      <w:pPr>
        <w:spacing w:before="120" w:after="0"/>
        <w:jc w:val="both"/>
        <w:rPr>
          <w:rFonts w:ascii="Arial" w:hAnsi="Arial" w:cs="Arial"/>
        </w:rPr>
      </w:pPr>
      <w:r w:rsidRPr="0086466C">
        <w:rPr>
          <w:rFonts w:ascii="Arial" w:hAnsi="Arial" w:cs="Arial"/>
        </w:rPr>
        <w:t xml:space="preserve">Při </w:t>
      </w:r>
      <w:r w:rsidR="008116F5" w:rsidRPr="0086466C">
        <w:rPr>
          <w:rFonts w:ascii="Arial" w:hAnsi="Arial" w:cs="Arial"/>
        </w:rPr>
        <w:t xml:space="preserve">bližším pohledu na strukturu subjektů podle </w:t>
      </w:r>
      <w:r w:rsidR="00470BFE" w:rsidRPr="0086466C">
        <w:rPr>
          <w:rFonts w:ascii="Arial" w:hAnsi="Arial" w:cs="Arial"/>
        </w:rPr>
        <w:t>vlastnictví</w:t>
      </w:r>
      <w:r w:rsidR="00C36EC9" w:rsidRPr="0086466C">
        <w:rPr>
          <w:rFonts w:ascii="Arial" w:hAnsi="Arial" w:cs="Arial"/>
        </w:rPr>
        <w:t xml:space="preserve"> je patrné, že </w:t>
      </w:r>
      <w:r w:rsidR="00C36EC9" w:rsidRPr="0086466C">
        <w:rPr>
          <w:rFonts w:ascii="Arial" w:hAnsi="Arial" w:cs="Arial"/>
          <w:b/>
          <w:bCs/>
        </w:rPr>
        <w:t xml:space="preserve">drtivá většina domácích firem není </w:t>
      </w:r>
      <w:r w:rsidR="00133EE7" w:rsidRPr="0086466C">
        <w:rPr>
          <w:rFonts w:ascii="Arial" w:hAnsi="Arial" w:cs="Arial"/>
          <w:b/>
          <w:bCs/>
        </w:rPr>
        <w:t xml:space="preserve">nijak </w:t>
      </w:r>
      <w:r w:rsidR="00C36EC9" w:rsidRPr="0086466C">
        <w:rPr>
          <w:rFonts w:ascii="Arial" w:hAnsi="Arial" w:cs="Arial"/>
          <w:b/>
          <w:bCs/>
        </w:rPr>
        <w:t>zapojena do produkčních řetězců</w:t>
      </w:r>
      <w:r w:rsidR="00133EE7" w:rsidRPr="0086466C">
        <w:rPr>
          <w:rFonts w:ascii="Arial" w:hAnsi="Arial" w:cs="Arial"/>
        </w:rPr>
        <w:t xml:space="preserve"> </w:t>
      </w:r>
      <w:r w:rsidR="00270B28" w:rsidRPr="0086466C">
        <w:rPr>
          <w:rFonts w:ascii="Arial" w:hAnsi="Arial" w:cs="Arial"/>
        </w:rPr>
        <w:t>(viz graf 1</w:t>
      </w:r>
      <w:r w:rsidR="004B2CF5" w:rsidRPr="0086466C">
        <w:rPr>
          <w:rFonts w:ascii="Arial" w:hAnsi="Arial" w:cs="Arial"/>
        </w:rPr>
        <w:t>8</w:t>
      </w:r>
      <w:r w:rsidR="00270B28" w:rsidRPr="0086466C">
        <w:rPr>
          <w:rFonts w:ascii="Arial" w:hAnsi="Arial" w:cs="Arial"/>
        </w:rPr>
        <w:t xml:space="preserve">). Mimo GPN stojí </w:t>
      </w:r>
      <w:r w:rsidR="00133EE7" w:rsidRPr="0086466C">
        <w:rPr>
          <w:rFonts w:ascii="Arial" w:hAnsi="Arial" w:cs="Arial"/>
        </w:rPr>
        <w:t xml:space="preserve">66 </w:t>
      </w:r>
      <w:r w:rsidR="00270B28" w:rsidRPr="0086466C">
        <w:rPr>
          <w:rFonts w:ascii="Arial" w:hAnsi="Arial" w:cs="Arial"/>
        </w:rPr>
        <w:t xml:space="preserve">domácích </w:t>
      </w:r>
      <w:r w:rsidR="00B84411" w:rsidRPr="0086466C">
        <w:rPr>
          <w:rFonts w:ascii="Arial" w:hAnsi="Arial" w:cs="Arial"/>
        </w:rPr>
        <w:t xml:space="preserve">firem </w:t>
      </w:r>
      <w:r w:rsidR="00133EE7" w:rsidRPr="0086466C">
        <w:rPr>
          <w:rFonts w:ascii="Arial" w:hAnsi="Arial" w:cs="Arial"/>
        </w:rPr>
        <w:t xml:space="preserve">z celkových </w:t>
      </w:r>
      <w:r w:rsidR="00054727" w:rsidRPr="0086466C">
        <w:rPr>
          <w:rFonts w:ascii="Arial" w:hAnsi="Arial" w:cs="Arial"/>
        </w:rPr>
        <w:t>80</w:t>
      </w:r>
      <w:r w:rsidR="00B84411" w:rsidRPr="0086466C">
        <w:rPr>
          <w:rFonts w:ascii="Arial" w:hAnsi="Arial" w:cs="Arial"/>
        </w:rPr>
        <w:t xml:space="preserve"> (83 %</w:t>
      </w:r>
      <w:r w:rsidR="00054727" w:rsidRPr="0086466C">
        <w:rPr>
          <w:rFonts w:ascii="Arial" w:hAnsi="Arial" w:cs="Arial"/>
        </w:rPr>
        <w:t>)</w:t>
      </w:r>
      <w:r w:rsidR="00562588" w:rsidRPr="0086466C">
        <w:rPr>
          <w:rFonts w:ascii="Arial" w:hAnsi="Arial" w:cs="Arial"/>
        </w:rPr>
        <w:t>. Až na 2 subjekty</w:t>
      </w:r>
      <w:r w:rsidR="00B32943" w:rsidRPr="0086466C">
        <w:rPr>
          <w:rFonts w:ascii="Arial" w:hAnsi="Arial" w:cs="Arial"/>
        </w:rPr>
        <w:t xml:space="preserve"> </w:t>
      </w:r>
      <w:r w:rsidR="0048514C" w:rsidRPr="0086466C">
        <w:rPr>
          <w:rFonts w:ascii="Arial" w:hAnsi="Arial" w:cs="Arial"/>
        </w:rPr>
        <w:t>však</w:t>
      </w:r>
      <w:r w:rsidR="00562588" w:rsidRPr="0086466C">
        <w:rPr>
          <w:rFonts w:ascii="Arial" w:hAnsi="Arial" w:cs="Arial"/>
        </w:rPr>
        <w:t xml:space="preserve"> </w:t>
      </w:r>
      <w:r w:rsidR="00562588" w:rsidRPr="0086466C">
        <w:rPr>
          <w:rFonts w:ascii="Arial" w:hAnsi="Arial" w:cs="Arial"/>
          <w:b/>
          <w:bCs/>
        </w:rPr>
        <w:t xml:space="preserve">mají přístup na koncový </w:t>
      </w:r>
      <w:proofErr w:type="gramStart"/>
      <w:r w:rsidR="00562588" w:rsidRPr="0086466C">
        <w:rPr>
          <w:rFonts w:ascii="Arial" w:hAnsi="Arial" w:cs="Arial"/>
          <w:b/>
          <w:bCs/>
        </w:rPr>
        <w:t>trh</w:t>
      </w:r>
      <w:proofErr w:type="gramEnd"/>
      <w:r w:rsidR="00562588" w:rsidRPr="0086466C">
        <w:rPr>
          <w:rFonts w:ascii="Arial" w:hAnsi="Arial" w:cs="Arial"/>
        </w:rPr>
        <w:t xml:space="preserve"> a to jim</w:t>
      </w:r>
      <w:r w:rsidR="009666FD" w:rsidRPr="0086466C">
        <w:rPr>
          <w:rFonts w:ascii="Arial" w:hAnsi="Arial" w:cs="Arial"/>
        </w:rPr>
        <w:t xml:space="preserve"> dává velkou míru autonomie. Nejvíce domácích firem je pak mezi </w:t>
      </w:r>
      <w:r w:rsidR="009666FD" w:rsidRPr="0086466C">
        <w:rPr>
          <w:rFonts w:ascii="Arial" w:hAnsi="Arial" w:cs="Arial"/>
          <w:b/>
          <w:bCs/>
        </w:rPr>
        <w:t>dodavateli 3. řádu</w:t>
      </w:r>
      <w:r w:rsidR="00F41551" w:rsidRPr="0086466C">
        <w:rPr>
          <w:rFonts w:ascii="Arial" w:hAnsi="Arial" w:cs="Arial"/>
          <w:b/>
          <w:bCs/>
        </w:rPr>
        <w:t xml:space="preserve"> </w:t>
      </w:r>
      <w:r w:rsidR="00F41551" w:rsidRPr="0086466C">
        <w:rPr>
          <w:rFonts w:ascii="Arial" w:hAnsi="Arial" w:cs="Arial"/>
        </w:rPr>
        <w:t>(8)</w:t>
      </w:r>
      <w:r w:rsidR="009666FD" w:rsidRPr="0086466C">
        <w:rPr>
          <w:rFonts w:ascii="Arial" w:hAnsi="Arial" w:cs="Arial"/>
        </w:rPr>
        <w:t>, kteří naopak nemají autonomii téměř žádnou.</w:t>
      </w:r>
      <w:r w:rsidR="00216C70" w:rsidRPr="0086466C">
        <w:rPr>
          <w:rFonts w:ascii="Arial" w:hAnsi="Arial" w:cs="Arial"/>
        </w:rPr>
        <w:t xml:space="preserve"> Jak bylo uvedeno výše, v Plzeňském kraji působí</w:t>
      </w:r>
      <w:r w:rsidR="00B84411" w:rsidRPr="0086466C">
        <w:rPr>
          <w:rFonts w:ascii="Arial" w:hAnsi="Arial" w:cs="Arial"/>
        </w:rPr>
        <w:t xml:space="preserve"> také</w:t>
      </w:r>
      <w:r w:rsidR="00216C70" w:rsidRPr="0086466C">
        <w:rPr>
          <w:rFonts w:ascii="Arial" w:hAnsi="Arial" w:cs="Arial"/>
        </w:rPr>
        <w:t xml:space="preserve"> </w:t>
      </w:r>
      <w:r w:rsidR="00216C70" w:rsidRPr="0086466C">
        <w:rPr>
          <w:rFonts w:ascii="Arial" w:hAnsi="Arial" w:cs="Arial"/>
          <w:b/>
          <w:bCs/>
        </w:rPr>
        <w:t xml:space="preserve">3 </w:t>
      </w:r>
      <w:r w:rsidR="00AB3ADD" w:rsidRPr="0086466C">
        <w:rPr>
          <w:rFonts w:ascii="Arial" w:hAnsi="Arial" w:cs="Arial"/>
          <w:b/>
          <w:bCs/>
        </w:rPr>
        <w:t>domácí subjekty v roli vedoucí firmy</w:t>
      </w:r>
      <w:r w:rsidR="00AB3ADD" w:rsidRPr="0086466C">
        <w:rPr>
          <w:rFonts w:ascii="Arial" w:hAnsi="Arial" w:cs="Arial"/>
        </w:rPr>
        <w:t xml:space="preserve"> (integrátora).</w:t>
      </w:r>
    </w:p>
    <w:p w14:paraId="4ABF727C" w14:textId="608CC712" w:rsidR="0048514C" w:rsidRPr="0086466C" w:rsidRDefault="0048514C" w:rsidP="00BD47CA">
      <w:pPr>
        <w:spacing w:before="120" w:after="0"/>
        <w:jc w:val="both"/>
        <w:rPr>
          <w:rFonts w:ascii="Arial" w:hAnsi="Arial" w:cs="Arial"/>
        </w:rPr>
      </w:pPr>
      <w:r w:rsidRPr="0086466C">
        <w:rPr>
          <w:rFonts w:ascii="Arial" w:hAnsi="Arial" w:cs="Arial"/>
        </w:rPr>
        <w:lastRenderedPageBreak/>
        <w:t>Mezi</w:t>
      </w:r>
      <w:r w:rsidR="007F4916" w:rsidRPr="0086466C">
        <w:rPr>
          <w:rFonts w:ascii="Arial" w:hAnsi="Arial" w:cs="Arial"/>
        </w:rPr>
        <w:t xml:space="preserve"> 138</w:t>
      </w:r>
      <w:r w:rsidRPr="0086466C">
        <w:rPr>
          <w:rFonts w:ascii="Arial" w:hAnsi="Arial" w:cs="Arial"/>
        </w:rPr>
        <w:t xml:space="preserve"> </w:t>
      </w:r>
      <w:r w:rsidRPr="0086466C">
        <w:rPr>
          <w:rFonts w:ascii="Arial" w:hAnsi="Arial" w:cs="Arial"/>
          <w:b/>
          <w:bCs/>
        </w:rPr>
        <w:t xml:space="preserve">zahraničními firmami </w:t>
      </w:r>
      <w:r w:rsidR="009C5291" w:rsidRPr="0086466C">
        <w:rPr>
          <w:rFonts w:ascii="Arial" w:hAnsi="Arial" w:cs="Arial"/>
          <w:b/>
          <w:bCs/>
        </w:rPr>
        <w:t>působí</w:t>
      </w:r>
      <w:r w:rsidRPr="0086466C">
        <w:rPr>
          <w:rFonts w:ascii="Arial" w:hAnsi="Arial" w:cs="Arial"/>
          <w:b/>
          <w:bCs/>
        </w:rPr>
        <w:t xml:space="preserve"> </w:t>
      </w:r>
      <w:r w:rsidR="00620C78" w:rsidRPr="0086466C">
        <w:rPr>
          <w:rFonts w:ascii="Arial" w:hAnsi="Arial" w:cs="Arial"/>
          <w:b/>
          <w:bCs/>
        </w:rPr>
        <w:t>mimo GPN</w:t>
      </w:r>
      <w:r w:rsidR="00620C78" w:rsidRPr="0086466C">
        <w:rPr>
          <w:rFonts w:ascii="Arial" w:hAnsi="Arial" w:cs="Arial"/>
        </w:rPr>
        <w:t xml:space="preserve"> </w:t>
      </w:r>
      <w:r w:rsidR="009C5291" w:rsidRPr="0086466C">
        <w:rPr>
          <w:rFonts w:ascii="Arial" w:hAnsi="Arial" w:cs="Arial"/>
          <w:b/>
          <w:bCs/>
        </w:rPr>
        <w:t xml:space="preserve">zhruba čtvrtina subjektů </w:t>
      </w:r>
      <w:r w:rsidR="00620C78" w:rsidRPr="0086466C">
        <w:rPr>
          <w:rFonts w:ascii="Arial" w:hAnsi="Arial" w:cs="Arial"/>
        </w:rPr>
        <w:t>(36), z nichž navíc 27 nemá přístup na koncový trh.</w:t>
      </w:r>
      <w:r w:rsidR="00F41551" w:rsidRPr="0086466C">
        <w:rPr>
          <w:rFonts w:ascii="Arial" w:hAnsi="Arial" w:cs="Arial"/>
        </w:rPr>
        <w:t xml:space="preserve"> Ostatní jsou zapojeny do GPN </w:t>
      </w:r>
      <w:r w:rsidR="009E3FE8" w:rsidRPr="0086466C">
        <w:rPr>
          <w:rFonts w:ascii="Arial" w:hAnsi="Arial" w:cs="Arial"/>
        </w:rPr>
        <w:t xml:space="preserve">jako dodavatelé </w:t>
      </w:r>
      <w:r w:rsidR="00321E9E" w:rsidRPr="0086466C">
        <w:rPr>
          <w:rFonts w:ascii="Arial" w:hAnsi="Arial" w:cs="Arial"/>
        </w:rPr>
        <w:t>různých</w:t>
      </w:r>
      <w:r w:rsidR="00216C70" w:rsidRPr="0086466C">
        <w:rPr>
          <w:rFonts w:ascii="Arial" w:hAnsi="Arial" w:cs="Arial"/>
        </w:rPr>
        <w:t xml:space="preserve"> řádů </w:t>
      </w:r>
      <w:r w:rsidR="00270B28" w:rsidRPr="0086466C">
        <w:rPr>
          <w:rFonts w:ascii="Arial" w:hAnsi="Arial" w:cs="Arial"/>
        </w:rPr>
        <w:t xml:space="preserve">(78) </w:t>
      </w:r>
      <w:r w:rsidR="009E3FE8" w:rsidRPr="0086466C">
        <w:rPr>
          <w:rFonts w:ascii="Arial" w:hAnsi="Arial" w:cs="Arial"/>
        </w:rPr>
        <w:t>nebo pobočky</w:t>
      </w:r>
      <w:r w:rsidR="00447C80" w:rsidRPr="0086466C">
        <w:rPr>
          <w:rFonts w:ascii="Arial" w:hAnsi="Arial" w:cs="Arial"/>
        </w:rPr>
        <w:t xml:space="preserve"> </w:t>
      </w:r>
      <w:r w:rsidR="009E3FE8" w:rsidRPr="0086466C">
        <w:rPr>
          <w:rFonts w:ascii="Arial" w:hAnsi="Arial" w:cs="Arial"/>
        </w:rPr>
        <w:t>vedoucích firem</w:t>
      </w:r>
      <w:r w:rsidR="00AB3ADD" w:rsidRPr="0086466C">
        <w:rPr>
          <w:rFonts w:ascii="Arial" w:hAnsi="Arial" w:cs="Arial"/>
        </w:rPr>
        <w:t xml:space="preserve"> (24)</w:t>
      </w:r>
      <w:r w:rsidR="009E3FE8" w:rsidRPr="0086466C">
        <w:rPr>
          <w:rFonts w:ascii="Arial" w:hAnsi="Arial" w:cs="Arial"/>
        </w:rPr>
        <w:t>.</w:t>
      </w:r>
    </w:p>
    <w:p w14:paraId="0949C455" w14:textId="0F5442B4" w:rsidR="001E48DB" w:rsidRPr="0086466C" w:rsidRDefault="00F74C11" w:rsidP="00BD47CA">
      <w:pPr>
        <w:spacing w:before="120" w:after="0"/>
        <w:jc w:val="both"/>
        <w:rPr>
          <w:rFonts w:ascii="Arial" w:hAnsi="Arial" w:cs="Arial"/>
        </w:rPr>
      </w:pPr>
      <w:r w:rsidRPr="0086466C">
        <w:rPr>
          <w:noProof/>
        </w:rPr>
        <w:drawing>
          <wp:inline distT="0" distB="0" distL="0" distR="0" wp14:anchorId="2E8F9AF4" wp14:editId="369E97FA">
            <wp:extent cx="5848350" cy="2057400"/>
            <wp:effectExtent l="0" t="0" r="0" b="0"/>
            <wp:docPr id="1938219695" name="Graf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500-000006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14:paraId="47A3307C" w14:textId="054FCE65" w:rsidR="004B0282" w:rsidRPr="0086466C" w:rsidRDefault="004908EF" w:rsidP="00BD47CA">
      <w:pPr>
        <w:spacing w:before="120" w:after="0"/>
        <w:jc w:val="both"/>
        <w:rPr>
          <w:rFonts w:ascii="Arial" w:hAnsi="Arial" w:cs="Arial"/>
        </w:rPr>
      </w:pPr>
      <w:r w:rsidRPr="0086466C">
        <w:rPr>
          <w:rFonts w:ascii="Arial" w:hAnsi="Arial" w:cs="Arial"/>
        </w:rPr>
        <w:t>Následující graf 1</w:t>
      </w:r>
      <w:r w:rsidR="00445A72" w:rsidRPr="0086466C">
        <w:rPr>
          <w:rFonts w:ascii="Arial" w:hAnsi="Arial" w:cs="Arial"/>
        </w:rPr>
        <w:t>9</w:t>
      </w:r>
      <w:r w:rsidRPr="0086466C">
        <w:rPr>
          <w:rFonts w:ascii="Arial" w:hAnsi="Arial" w:cs="Arial"/>
        </w:rPr>
        <w:t xml:space="preserve"> ukazuje strukturu subjektů podle postavení v GPN a počtu zaměstnanců</w:t>
      </w:r>
      <w:r w:rsidR="002A5E37" w:rsidRPr="0086466C">
        <w:rPr>
          <w:rFonts w:ascii="Arial" w:hAnsi="Arial" w:cs="Arial"/>
        </w:rPr>
        <w:t xml:space="preserve"> v jednotlivých velikostních skupinách. Na první pohled je zřejmé, že </w:t>
      </w:r>
      <w:r w:rsidR="002A5E37" w:rsidRPr="0086466C">
        <w:rPr>
          <w:rFonts w:ascii="Arial" w:hAnsi="Arial" w:cs="Arial"/>
          <w:b/>
          <w:bCs/>
        </w:rPr>
        <w:t>mezi malými podniky do</w:t>
      </w:r>
      <w:r w:rsidR="00A27D4E" w:rsidRPr="0086466C">
        <w:rPr>
          <w:rFonts w:ascii="Arial" w:hAnsi="Arial" w:cs="Arial"/>
          <w:b/>
          <w:bCs/>
        </w:rPr>
        <w:t> </w:t>
      </w:r>
      <w:r w:rsidR="002A5E37" w:rsidRPr="0086466C">
        <w:rPr>
          <w:rFonts w:ascii="Arial" w:hAnsi="Arial" w:cs="Arial"/>
          <w:b/>
          <w:bCs/>
        </w:rPr>
        <w:t xml:space="preserve">100 zaměstnanců </w:t>
      </w:r>
      <w:r w:rsidR="008F3348" w:rsidRPr="0086466C">
        <w:rPr>
          <w:rFonts w:ascii="Arial" w:hAnsi="Arial" w:cs="Arial"/>
          <w:b/>
          <w:bCs/>
        </w:rPr>
        <w:t>dominují firmy působící mimo globální sítě</w:t>
      </w:r>
      <w:r w:rsidR="008F3348" w:rsidRPr="0086466C">
        <w:rPr>
          <w:rFonts w:ascii="Arial" w:hAnsi="Arial" w:cs="Arial"/>
        </w:rPr>
        <w:t xml:space="preserve">. </w:t>
      </w:r>
      <w:r w:rsidR="00741855" w:rsidRPr="0086466C">
        <w:rPr>
          <w:rFonts w:ascii="Arial" w:hAnsi="Arial" w:cs="Arial"/>
        </w:rPr>
        <w:t xml:space="preserve">Naopak mezi subjekty </w:t>
      </w:r>
      <w:r w:rsidR="00741855" w:rsidRPr="0086466C">
        <w:rPr>
          <w:rFonts w:ascii="Arial" w:hAnsi="Arial" w:cs="Arial"/>
          <w:b/>
          <w:bCs/>
        </w:rPr>
        <w:t>s více než 1000 zaměstnanc</w:t>
      </w:r>
      <w:r w:rsidR="00914D94" w:rsidRPr="0086466C">
        <w:rPr>
          <w:rFonts w:ascii="Arial" w:hAnsi="Arial" w:cs="Arial"/>
          <w:b/>
          <w:bCs/>
        </w:rPr>
        <w:t>i</w:t>
      </w:r>
      <w:r w:rsidR="00741855" w:rsidRPr="0086466C">
        <w:rPr>
          <w:rFonts w:ascii="Arial" w:hAnsi="Arial" w:cs="Arial"/>
          <w:b/>
          <w:bCs/>
        </w:rPr>
        <w:t xml:space="preserve"> </w:t>
      </w:r>
      <w:r w:rsidR="00D87BDA" w:rsidRPr="0086466C">
        <w:rPr>
          <w:rFonts w:ascii="Arial" w:hAnsi="Arial" w:cs="Arial"/>
          <w:b/>
          <w:bCs/>
        </w:rPr>
        <w:t>jsou všechny firmy součástí GPN</w:t>
      </w:r>
      <w:r w:rsidR="00D87BDA" w:rsidRPr="0086466C">
        <w:rPr>
          <w:rFonts w:ascii="Arial" w:hAnsi="Arial" w:cs="Arial"/>
        </w:rPr>
        <w:t xml:space="preserve">. </w:t>
      </w:r>
      <w:r w:rsidR="00914D94" w:rsidRPr="0086466C">
        <w:rPr>
          <w:rFonts w:ascii="Arial" w:hAnsi="Arial" w:cs="Arial"/>
        </w:rPr>
        <w:t>V této velikostní skupině také převládají dodavatelé 1. řádu</w:t>
      </w:r>
      <w:r w:rsidR="00E07588" w:rsidRPr="0086466C">
        <w:rPr>
          <w:rFonts w:ascii="Arial" w:hAnsi="Arial" w:cs="Arial"/>
        </w:rPr>
        <w:t xml:space="preserve">. </w:t>
      </w:r>
      <w:r w:rsidR="002A01CF" w:rsidRPr="0086466C">
        <w:rPr>
          <w:rFonts w:ascii="Arial" w:hAnsi="Arial" w:cs="Arial"/>
        </w:rPr>
        <w:t xml:space="preserve">Mezi </w:t>
      </w:r>
      <w:r w:rsidR="002A01CF" w:rsidRPr="0086466C">
        <w:rPr>
          <w:rFonts w:ascii="Arial" w:hAnsi="Arial" w:cs="Arial"/>
          <w:b/>
          <w:bCs/>
        </w:rPr>
        <w:t>subjekty s více než 250 zaměstnanci</w:t>
      </w:r>
      <w:r w:rsidR="002A01CF" w:rsidRPr="0086466C">
        <w:rPr>
          <w:rFonts w:ascii="Arial" w:hAnsi="Arial" w:cs="Arial"/>
        </w:rPr>
        <w:t xml:space="preserve"> </w:t>
      </w:r>
      <w:r w:rsidR="001C16D2" w:rsidRPr="0086466C">
        <w:rPr>
          <w:rFonts w:ascii="Arial" w:hAnsi="Arial" w:cs="Arial"/>
        </w:rPr>
        <w:t>stojí</w:t>
      </w:r>
      <w:r w:rsidR="002A01CF" w:rsidRPr="0086466C">
        <w:rPr>
          <w:rFonts w:ascii="Arial" w:hAnsi="Arial" w:cs="Arial"/>
        </w:rPr>
        <w:t xml:space="preserve"> pouze 3 </w:t>
      </w:r>
      <w:r w:rsidR="001C16D2" w:rsidRPr="0086466C">
        <w:rPr>
          <w:rFonts w:ascii="Arial" w:hAnsi="Arial" w:cs="Arial"/>
        </w:rPr>
        <w:t xml:space="preserve">podniky mimo GPN, ostatní jsou </w:t>
      </w:r>
      <w:r w:rsidR="001C16D2" w:rsidRPr="0086466C">
        <w:rPr>
          <w:rFonts w:ascii="Arial" w:hAnsi="Arial" w:cs="Arial"/>
          <w:b/>
          <w:bCs/>
        </w:rPr>
        <w:t>do řetězců zapojeny nejčastěji jako dodavatelé</w:t>
      </w:r>
      <w:r w:rsidR="001C16D2" w:rsidRPr="0086466C">
        <w:rPr>
          <w:rFonts w:ascii="Arial" w:hAnsi="Arial" w:cs="Arial"/>
        </w:rPr>
        <w:t xml:space="preserve">. </w:t>
      </w:r>
      <w:r w:rsidR="00960346" w:rsidRPr="0086466C">
        <w:rPr>
          <w:rFonts w:ascii="Arial" w:hAnsi="Arial" w:cs="Arial"/>
        </w:rPr>
        <w:t>Pouze ve velikostní skupin</w:t>
      </w:r>
      <w:r w:rsidR="002B49C4" w:rsidRPr="0086466C">
        <w:rPr>
          <w:rFonts w:ascii="Arial" w:hAnsi="Arial" w:cs="Arial"/>
        </w:rPr>
        <w:t>ě</w:t>
      </w:r>
      <w:r w:rsidR="00960346" w:rsidRPr="0086466C">
        <w:rPr>
          <w:rFonts w:ascii="Arial" w:hAnsi="Arial" w:cs="Arial"/>
        </w:rPr>
        <w:t xml:space="preserve"> </w:t>
      </w:r>
      <w:proofErr w:type="gramStart"/>
      <w:r w:rsidR="00960346" w:rsidRPr="0086466C">
        <w:rPr>
          <w:rFonts w:ascii="Arial" w:hAnsi="Arial" w:cs="Arial"/>
        </w:rPr>
        <w:t>250 – 499</w:t>
      </w:r>
      <w:proofErr w:type="gramEnd"/>
      <w:r w:rsidR="00960346" w:rsidRPr="0086466C">
        <w:rPr>
          <w:rFonts w:ascii="Arial" w:hAnsi="Arial" w:cs="Arial"/>
        </w:rPr>
        <w:t xml:space="preserve"> zaměstnanců je nejvíce</w:t>
      </w:r>
      <w:r w:rsidR="002B49C4" w:rsidRPr="0086466C">
        <w:rPr>
          <w:rFonts w:ascii="Arial" w:hAnsi="Arial" w:cs="Arial"/>
        </w:rPr>
        <w:t xml:space="preserve"> subjektů v postavení</w:t>
      </w:r>
      <w:r w:rsidR="00960346" w:rsidRPr="0086466C">
        <w:rPr>
          <w:rFonts w:ascii="Arial" w:hAnsi="Arial" w:cs="Arial"/>
        </w:rPr>
        <w:t xml:space="preserve"> (7) poboč</w:t>
      </w:r>
      <w:r w:rsidR="002B49C4" w:rsidRPr="0086466C">
        <w:rPr>
          <w:rFonts w:ascii="Arial" w:hAnsi="Arial" w:cs="Arial"/>
        </w:rPr>
        <w:t>ky</w:t>
      </w:r>
      <w:r w:rsidR="00960346" w:rsidRPr="0086466C">
        <w:rPr>
          <w:rFonts w:ascii="Arial" w:hAnsi="Arial" w:cs="Arial"/>
        </w:rPr>
        <w:t xml:space="preserve"> zahraničn</w:t>
      </w:r>
      <w:r w:rsidR="002B49C4" w:rsidRPr="0086466C">
        <w:rPr>
          <w:rFonts w:ascii="Arial" w:hAnsi="Arial" w:cs="Arial"/>
        </w:rPr>
        <w:t>í vedoucí firmy.</w:t>
      </w:r>
    </w:p>
    <w:p w14:paraId="0C4CD1A7" w14:textId="71D4879B" w:rsidR="00571B10" w:rsidRPr="0086466C" w:rsidRDefault="00102EF0" w:rsidP="00BD47CA">
      <w:pPr>
        <w:spacing w:before="120" w:after="0"/>
        <w:jc w:val="both"/>
        <w:rPr>
          <w:rFonts w:ascii="Arial" w:hAnsi="Arial" w:cs="Arial"/>
        </w:rPr>
      </w:pPr>
      <w:r w:rsidRPr="0086466C">
        <w:rPr>
          <w:noProof/>
        </w:rPr>
        <w:drawing>
          <wp:inline distT="0" distB="0" distL="0" distR="0" wp14:anchorId="016326CB" wp14:editId="61AD99E2">
            <wp:extent cx="5867400" cy="2470825"/>
            <wp:effectExtent l="0" t="0" r="0" b="5715"/>
            <wp:docPr id="804463384" name="Graf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700-00000E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14:paraId="44DB46E1" w14:textId="42B5F010" w:rsidR="00DF70B4" w:rsidRPr="0086466C" w:rsidRDefault="004C318A" w:rsidP="00BD47CA">
      <w:pPr>
        <w:spacing w:before="120" w:after="0"/>
        <w:jc w:val="both"/>
        <w:rPr>
          <w:rFonts w:ascii="Arial" w:hAnsi="Arial" w:cs="Arial"/>
        </w:rPr>
      </w:pPr>
      <w:r w:rsidRPr="0086466C">
        <w:rPr>
          <w:rFonts w:ascii="Arial" w:hAnsi="Arial" w:cs="Arial"/>
        </w:rPr>
        <w:t xml:space="preserve">Při pohledu na </w:t>
      </w:r>
      <w:r w:rsidR="00AB7412" w:rsidRPr="0086466C">
        <w:rPr>
          <w:rFonts w:ascii="Arial" w:hAnsi="Arial" w:cs="Arial"/>
        </w:rPr>
        <w:t xml:space="preserve">ekonomické subjekty podle jejich zaměření, tj. </w:t>
      </w:r>
      <w:r w:rsidR="00AB7412" w:rsidRPr="0086466C">
        <w:rPr>
          <w:rFonts w:ascii="Arial" w:hAnsi="Arial" w:cs="Arial"/>
          <w:b/>
          <w:bCs/>
        </w:rPr>
        <w:t>podle odvětví dle NACE</w:t>
      </w:r>
      <w:r w:rsidR="00AB7412" w:rsidRPr="0086466C">
        <w:rPr>
          <w:rFonts w:ascii="Arial" w:hAnsi="Arial" w:cs="Arial"/>
        </w:rPr>
        <w:t xml:space="preserve">, </w:t>
      </w:r>
      <w:r w:rsidR="00FD5448" w:rsidRPr="0086466C">
        <w:rPr>
          <w:rFonts w:ascii="Arial" w:hAnsi="Arial" w:cs="Arial"/>
          <w:b/>
          <w:bCs/>
        </w:rPr>
        <w:t>převládají subjekty zapojené do GPN v</w:t>
      </w:r>
      <w:r w:rsidR="002E5621" w:rsidRPr="0086466C">
        <w:rPr>
          <w:rFonts w:ascii="Arial" w:hAnsi="Arial" w:cs="Arial"/>
          <w:b/>
          <w:bCs/>
        </w:rPr>
        <w:t> 5 odvětvích</w:t>
      </w:r>
      <w:r w:rsidR="002E5621" w:rsidRPr="0086466C">
        <w:rPr>
          <w:rFonts w:ascii="Arial" w:hAnsi="Arial" w:cs="Arial"/>
        </w:rPr>
        <w:t xml:space="preserve">: </w:t>
      </w:r>
      <w:r w:rsidR="00EE1E97" w:rsidRPr="0086466C">
        <w:rPr>
          <w:rFonts w:ascii="Arial" w:hAnsi="Arial" w:cs="Arial"/>
        </w:rPr>
        <w:t xml:space="preserve">Strojírenství, </w:t>
      </w:r>
      <w:proofErr w:type="spellStart"/>
      <w:r w:rsidR="00EE1E97" w:rsidRPr="0086466C">
        <w:rPr>
          <w:rFonts w:ascii="Arial" w:hAnsi="Arial" w:cs="Arial"/>
        </w:rPr>
        <w:t>Plastikářství</w:t>
      </w:r>
      <w:proofErr w:type="spellEnd"/>
      <w:r w:rsidR="00EE1E97" w:rsidRPr="0086466C">
        <w:rPr>
          <w:rFonts w:ascii="Arial" w:hAnsi="Arial" w:cs="Arial"/>
        </w:rPr>
        <w:t xml:space="preserve">, </w:t>
      </w:r>
      <w:proofErr w:type="spellStart"/>
      <w:r w:rsidR="00EE1E97" w:rsidRPr="0086466C">
        <w:rPr>
          <w:rFonts w:ascii="Arial" w:hAnsi="Arial" w:cs="Arial"/>
        </w:rPr>
        <w:t>Automotiv</w:t>
      </w:r>
      <w:proofErr w:type="spellEnd"/>
      <w:r w:rsidR="00EE1E97" w:rsidRPr="0086466C">
        <w:rPr>
          <w:rFonts w:ascii="Arial" w:hAnsi="Arial" w:cs="Arial"/>
        </w:rPr>
        <w:t xml:space="preserve">, Ostatní dopravní prostředky a </w:t>
      </w:r>
      <w:r w:rsidR="00E41B2A" w:rsidRPr="0086466C">
        <w:rPr>
          <w:rFonts w:ascii="Arial" w:hAnsi="Arial" w:cs="Arial"/>
        </w:rPr>
        <w:t>Chemický průmysl. V odvětví Elektrotechnický průmysl je počet subjektů zapojených do GPN a stojících mimo ně vyrovnan</w:t>
      </w:r>
      <w:r w:rsidR="00C15F2D" w:rsidRPr="0086466C">
        <w:rPr>
          <w:rFonts w:ascii="Arial" w:hAnsi="Arial" w:cs="Arial"/>
        </w:rPr>
        <w:t xml:space="preserve">ý. </w:t>
      </w:r>
      <w:r w:rsidR="00240ECE" w:rsidRPr="0086466C">
        <w:rPr>
          <w:rFonts w:ascii="Arial" w:hAnsi="Arial" w:cs="Arial"/>
        </w:rPr>
        <w:t xml:space="preserve">V nejpočetnějším odvětví Kovovýroba </w:t>
      </w:r>
      <w:r w:rsidR="006B123B" w:rsidRPr="0086466C">
        <w:rPr>
          <w:rFonts w:ascii="Arial" w:hAnsi="Arial" w:cs="Arial"/>
        </w:rPr>
        <w:t xml:space="preserve">je však většina subjektů mimo GPN a poměrně početné jsou zde i subjekty bez přístupu na koncový trh. </w:t>
      </w:r>
      <w:r w:rsidR="00E03D9C" w:rsidRPr="0086466C">
        <w:rPr>
          <w:rFonts w:ascii="Arial" w:hAnsi="Arial" w:cs="Arial"/>
          <w:b/>
          <w:bCs/>
        </w:rPr>
        <w:t xml:space="preserve">V odvětví </w:t>
      </w:r>
      <w:proofErr w:type="spellStart"/>
      <w:r w:rsidR="00E03D9C" w:rsidRPr="0086466C">
        <w:rPr>
          <w:rFonts w:ascii="Arial" w:hAnsi="Arial" w:cs="Arial"/>
          <w:b/>
          <w:bCs/>
        </w:rPr>
        <w:t>Plastikářství</w:t>
      </w:r>
      <w:proofErr w:type="spellEnd"/>
      <w:r w:rsidR="00E03D9C" w:rsidRPr="0086466C">
        <w:rPr>
          <w:rFonts w:ascii="Arial" w:hAnsi="Arial" w:cs="Arial"/>
          <w:b/>
          <w:bCs/>
        </w:rPr>
        <w:t xml:space="preserve"> </w:t>
      </w:r>
      <w:r w:rsidR="00333AB2" w:rsidRPr="0086466C">
        <w:rPr>
          <w:rFonts w:ascii="Arial" w:hAnsi="Arial" w:cs="Arial"/>
          <w:b/>
          <w:bCs/>
        </w:rPr>
        <w:t>je téměř polovina subjektů v pozici dodavatele 3. řádu</w:t>
      </w:r>
      <w:r w:rsidR="00333AB2" w:rsidRPr="0086466C">
        <w:rPr>
          <w:rFonts w:ascii="Arial" w:hAnsi="Arial" w:cs="Arial"/>
        </w:rPr>
        <w:t>, tedy s</w:t>
      </w:r>
      <w:r w:rsidR="00E94536" w:rsidRPr="0086466C">
        <w:rPr>
          <w:rFonts w:ascii="Arial" w:hAnsi="Arial" w:cs="Arial"/>
        </w:rPr>
        <w:t> nejméně silným ostavením na trhu</w:t>
      </w:r>
      <w:r w:rsidR="00047CB7" w:rsidRPr="0086466C">
        <w:rPr>
          <w:rFonts w:ascii="Arial" w:hAnsi="Arial" w:cs="Arial"/>
        </w:rPr>
        <w:t xml:space="preserve">. </w:t>
      </w:r>
      <w:r w:rsidR="00047CB7" w:rsidRPr="0086466C">
        <w:rPr>
          <w:rFonts w:ascii="Arial" w:hAnsi="Arial" w:cs="Arial"/>
          <w:b/>
          <w:bCs/>
        </w:rPr>
        <w:t xml:space="preserve">V Elektrotechnickém průmyslu a </w:t>
      </w:r>
      <w:proofErr w:type="spellStart"/>
      <w:r w:rsidR="00047CB7" w:rsidRPr="0086466C">
        <w:rPr>
          <w:rFonts w:ascii="Arial" w:hAnsi="Arial" w:cs="Arial"/>
          <w:b/>
          <w:bCs/>
        </w:rPr>
        <w:t>Automotive</w:t>
      </w:r>
      <w:proofErr w:type="spellEnd"/>
      <w:r w:rsidR="00047CB7" w:rsidRPr="0086466C">
        <w:rPr>
          <w:rFonts w:ascii="Arial" w:hAnsi="Arial" w:cs="Arial"/>
          <w:b/>
          <w:bCs/>
        </w:rPr>
        <w:t xml:space="preserve"> nepůsobí žádný integrátor ani pobočka zahraniční vedoucí firmy</w:t>
      </w:r>
      <w:r w:rsidR="00047CB7" w:rsidRPr="0086466C">
        <w:rPr>
          <w:rFonts w:ascii="Arial" w:hAnsi="Arial" w:cs="Arial"/>
        </w:rPr>
        <w:t xml:space="preserve"> a všechny subjekty </w:t>
      </w:r>
      <w:r w:rsidR="003F7F5C" w:rsidRPr="0086466C">
        <w:rPr>
          <w:rFonts w:ascii="Arial" w:hAnsi="Arial" w:cs="Arial"/>
        </w:rPr>
        <w:t>zapojené do</w:t>
      </w:r>
      <w:r w:rsidR="00047CB7" w:rsidRPr="0086466C">
        <w:rPr>
          <w:rFonts w:ascii="Arial" w:hAnsi="Arial" w:cs="Arial"/>
        </w:rPr>
        <w:t xml:space="preserve"> GPN jsou v pozici dodavatelů. </w:t>
      </w:r>
    </w:p>
    <w:p w14:paraId="70BDE811" w14:textId="2044AAC7" w:rsidR="00B55F81" w:rsidRPr="0086466C" w:rsidRDefault="003F7F5C" w:rsidP="00BD47CA">
      <w:pPr>
        <w:spacing w:before="120" w:after="0"/>
        <w:jc w:val="both"/>
        <w:rPr>
          <w:rFonts w:ascii="Arial" w:hAnsi="Arial" w:cs="Arial"/>
        </w:rPr>
      </w:pPr>
      <w:r w:rsidRPr="0086466C">
        <w:rPr>
          <w:rFonts w:ascii="Arial" w:hAnsi="Arial" w:cs="Arial"/>
        </w:rPr>
        <w:t>Naopak v </w:t>
      </w:r>
      <w:r w:rsidRPr="0086466C">
        <w:rPr>
          <w:rFonts w:ascii="Arial" w:hAnsi="Arial" w:cs="Arial"/>
          <w:b/>
          <w:bCs/>
        </w:rPr>
        <w:t xml:space="preserve">odvětví </w:t>
      </w:r>
      <w:r w:rsidR="00B139C0" w:rsidRPr="0086466C">
        <w:rPr>
          <w:rFonts w:ascii="Arial" w:hAnsi="Arial" w:cs="Arial"/>
          <w:b/>
          <w:bCs/>
        </w:rPr>
        <w:t>Strojírenství</w:t>
      </w:r>
      <w:r w:rsidR="00B139C0" w:rsidRPr="0086466C">
        <w:rPr>
          <w:rFonts w:ascii="Arial" w:hAnsi="Arial" w:cs="Arial"/>
        </w:rPr>
        <w:t xml:space="preserve"> je poměrně </w:t>
      </w:r>
      <w:r w:rsidR="00B139C0" w:rsidRPr="0086466C">
        <w:rPr>
          <w:rFonts w:ascii="Arial" w:hAnsi="Arial" w:cs="Arial"/>
          <w:b/>
          <w:bCs/>
        </w:rPr>
        <w:t>vysoký počet vedoucích firem a poboček zahraničních integrátorů</w:t>
      </w:r>
      <w:r w:rsidR="00FF6ADD" w:rsidRPr="0086466C">
        <w:rPr>
          <w:rFonts w:ascii="Arial" w:hAnsi="Arial" w:cs="Arial"/>
          <w:b/>
          <w:bCs/>
        </w:rPr>
        <w:t xml:space="preserve"> a také firem mimo GPN ale s přístupem na koncový trh</w:t>
      </w:r>
      <w:r w:rsidR="00FF6ADD" w:rsidRPr="0086466C">
        <w:rPr>
          <w:rFonts w:ascii="Arial" w:hAnsi="Arial" w:cs="Arial"/>
        </w:rPr>
        <w:t xml:space="preserve">. </w:t>
      </w:r>
      <w:r w:rsidR="00FF6ADD" w:rsidRPr="0086466C">
        <w:rPr>
          <w:rFonts w:ascii="Arial" w:hAnsi="Arial" w:cs="Arial"/>
        </w:rPr>
        <w:lastRenderedPageBreak/>
        <w:t xml:space="preserve">Podobně je na tom </w:t>
      </w:r>
      <w:r w:rsidR="00734E52" w:rsidRPr="0086466C">
        <w:rPr>
          <w:rFonts w:ascii="Arial" w:hAnsi="Arial" w:cs="Arial"/>
          <w:b/>
          <w:bCs/>
        </w:rPr>
        <w:t xml:space="preserve">odvětví </w:t>
      </w:r>
      <w:r w:rsidRPr="0086466C">
        <w:rPr>
          <w:rFonts w:ascii="Arial" w:hAnsi="Arial" w:cs="Arial"/>
          <w:b/>
          <w:bCs/>
        </w:rPr>
        <w:t>Výroba minerálních</w:t>
      </w:r>
      <w:r w:rsidR="00B139C0" w:rsidRPr="0086466C">
        <w:rPr>
          <w:rFonts w:ascii="Arial" w:hAnsi="Arial" w:cs="Arial"/>
          <w:b/>
          <w:bCs/>
        </w:rPr>
        <w:t xml:space="preserve"> výrobků</w:t>
      </w:r>
      <w:r w:rsidR="00734E52" w:rsidRPr="0086466C">
        <w:rPr>
          <w:rFonts w:ascii="Arial" w:hAnsi="Arial" w:cs="Arial"/>
        </w:rPr>
        <w:t xml:space="preserve">, ve kterém jsou až na 1 výjimku všechny subjekty buď </w:t>
      </w:r>
      <w:r w:rsidR="00734E52" w:rsidRPr="0086466C">
        <w:rPr>
          <w:rFonts w:ascii="Arial" w:hAnsi="Arial" w:cs="Arial"/>
          <w:b/>
          <w:bCs/>
        </w:rPr>
        <w:t>pobočkou zahraniční vedoucí firmy nebo stojí mimo GPN</w:t>
      </w:r>
      <w:r w:rsidR="00DF70B4" w:rsidRPr="0086466C">
        <w:rPr>
          <w:rFonts w:ascii="Arial" w:hAnsi="Arial" w:cs="Arial"/>
          <w:b/>
          <w:bCs/>
        </w:rPr>
        <w:t>, ovšem s přístupem na koncový trh</w:t>
      </w:r>
      <w:r w:rsidR="00DF70B4" w:rsidRPr="0086466C">
        <w:rPr>
          <w:rFonts w:ascii="Arial" w:hAnsi="Arial" w:cs="Arial"/>
        </w:rPr>
        <w:t>.</w:t>
      </w:r>
      <w:r w:rsidR="00B139C0" w:rsidRPr="0086466C">
        <w:rPr>
          <w:rFonts w:ascii="Arial" w:hAnsi="Arial" w:cs="Arial"/>
        </w:rPr>
        <w:t xml:space="preserve"> </w:t>
      </w:r>
      <w:r w:rsidR="00C15F2D" w:rsidRPr="0086466C">
        <w:rPr>
          <w:rFonts w:ascii="Arial" w:hAnsi="Arial" w:cs="Arial"/>
        </w:rPr>
        <w:t xml:space="preserve">V grafu </w:t>
      </w:r>
      <w:r w:rsidR="00445A72" w:rsidRPr="0086466C">
        <w:rPr>
          <w:rFonts w:ascii="Arial" w:hAnsi="Arial" w:cs="Arial"/>
        </w:rPr>
        <w:t>20</w:t>
      </w:r>
      <w:r w:rsidR="00C15F2D" w:rsidRPr="0086466C">
        <w:rPr>
          <w:rFonts w:ascii="Arial" w:hAnsi="Arial" w:cs="Arial"/>
        </w:rPr>
        <w:t xml:space="preserve"> je </w:t>
      </w:r>
      <w:r w:rsidR="00077D18" w:rsidRPr="0086466C">
        <w:rPr>
          <w:rFonts w:ascii="Arial" w:hAnsi="Arial" w:cs="Arial"/>
        </w:rPr>
        <w:t xml:space="preserve">zobrazeno podrobné rozložení subjektů dle postavení v GPN v jednotlivých odvětvích. </w:t>
      </w:r>
    </w:p>
    <w:p w14:paraId="3D789813" w14:textId="1D43018E" w:rsidR="00A01818" w:rsidRPr="0086466C" w:rsidRDefault="00B11F0D" w:rsidP="00BD47CA">
      <w:pPr>
        <w:spacing w:before="120" w:after="0"/>
        <w:jc w:val="both"/>
        <w:rPr>
          <w:rFonts w:ascii="Arial" w:hAnsi="Arial" w:cs="Arial"/>
        </w:rPr>
      </w:pPr>
      <w:r w:rsidRPr="0086466C">
        <w:rPr>
          <w:noProof/>
        </w:rPr>
        <w:drawing>
          <wp:inline distT="0" distB="0" distL="0" distR="0" wp14:anchorId="2E9F5F2E" wp14:editId="06B67DD7">
            <wp:extent cx="5762625" cy="2889115"/>
            <wp:effectExtent l="0" t="0" r="9525" b="6985"/>
            <wp:docPr id="1632543765" name="Graf 1">
              <a:extLst xmlns:a="http://schemas.openxmlformats.org/drawingml/2006/main">
                <a:ext uri="{FF2B5EF4-FFF2-40B4-BE49-F238E27FC236}">
                  <a16:creationId xmlns:a16="http://schemas.microsoft.com/office/drawing/2014/main" id="{44436653-1BF2-4A5E-8C2B-A4FE3C67EAE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14:paraId="72C1C144" w14:textId="50CA3E01" w:rsidR="00561B81" w:rsidRPr="0086466C" w:rsidRDefault="00514F67" w:rsidP="00BD47CA">
      <w:pPr>
        <w:spacing w:before="120" w:after="0"/>
        <w:jc w:val="both"/>
        <w:rPr>
          <w:rFonts w:ascii="Arial" w:hAnsi="Arial" w:cs="Arial"/>
        </w:rPr>
      </w:pPr>
      <w:r w:rsidRPr="0086466C">
        <w:rPr>
          <w:rFonts w:ascii="Arial" w:hAnsi="Arial" w:cs="Arial"/>
        </w:rPr>
        <w:t xml:space="preserve">Stejně lze zhodnotit i postavení subjektů v GPN v rámci klastrů dle uplatnění hlavního produktu. Zde je ještě výraznější </w:t>
      </w:r>
      <w:r w:rsidR="00863B62" w:rsidRPr="0086466C">
        <w:rPr>
          <w:rFonts w:ascii="Arial" w:hAnsi="Arial" w:cs="Arial"/>
        </w:rPr>
        <w:t>specifický rys subjektů uplatňujících se v </w:t>
      </w:r>
      <w:proofErr w:type="spellStart"/>
      <w:r w:rsidR="00863B62" w:rsidRPr="0086466C">
        <w:rPr>
          <w:rFonts w:ascii="Arial" w:hAnsi="Arial" w:cs="Arial"/>
          <w:b/>
          <w:bCs/>
        </w:rPr>
        <w:t>Automotiv</w:t>
      </w:r>
      <w:proofErr w:type="spellEnd"/>
      <w:r w:rsidR="00863B62" w:rsidRPr="0086466C">
        <w:rPr>
          <w:rFonts w:ascii="Arial" w:hAnsi="Arial" w:cs="Arial"/>
        </w:rPr>
        <w:t xml:space="preserve">, neboť jsou </w:t>
      </w:r>
      <w:r w:rsidR="008165DC" w:rsidRPr="0086466C">
        <w:rPr>
          <w:rFonts w:ascii="Arial" w:hAnsi="Arial" w:cs="Arial"/>
        </w:rPr>
        <w:t xml:space="preserve">všechny (kromě 2 výjimek) </w:t>
      </w:r>
      <w:r w:rsidR="008165DC" w:rsidRPr="0086466C">
        <w:rPr>
          <w:rFonts w:ascii="Arial" w:hAnsi="Arial" w:cs="Arial"/>
          <w:b/>
          <w:bCs/>
        </w:rPr>
        <w:t>v postavení dodavatelů</w:t>
      </w:r>
      <w:r w:rsidR="008165DC" w:rsidRPr="0086466C">
        <w:rPr>
          <w:rFonts w:ascii="Arial" w:hAnsi="Arial" w:cs="Arial"/>
        </w:rPr>
        <w:t xml:space="preserve"> – viz graf </w:t>
      </w:r>
      <w:r w:rsidR="00445A72" w:rsidRPr="0086466C">
        <w:rPr>
          <w:rFonts w:ascii="Arial" w:hAnsi="Arial" w:cs="Arial"/>
        </w:rPr>
        <w:t>21</w:t>
      </w:r>
      <w:r w:rsidR="008165DC" w:rsidRPr="0086466C">
        <w:rPr>
          <w:rFonts w:ascii="Arial" w:hAnsi="Arial" w:cs="Arial"/>
        </w:rPr>
        <w:t xml:space="preserve">. </w:t>
      </w:r>
      <w:r w:rsidR="00BA09F6" w:rsidRPr="0086466C">
        <w:rPr>
          <w:rFonts w:ascii="Arial" w:hAnsi="Arial" w:cs="Arial"/>
        </w:rPr>
        <w:t>Další dva nejpočetnější klastry</w:t>
      </w:r>
      <w:r w:rsidR="00C417FB" w:rsidRPr="0086466C">
        <w:rPr>
          <w:rFonts w:ascii="Arial" w:hAnsi="Arial" w:cs="Arial"/>
        </w:rPr>
        <w:t xml:space="preserve"> </w:t>
      </w:r>
      <w:r w:rsidR="00C417FB" w:rsidRPr="0086466C">
        <w:rPr>
          <w:rFonts w:ascii="Arial" w:hAnsi="Arial" w:cs="Arial"/>
          <w:b/>
          <w:bCs/>
        </w:rPr>
        <w:t>Výroba strojů a zařízení a Kovovýroba</w:t>
      </w:r>
      <w:r w:rsidR="00BA09F6" w:rsidRPr="0086466C">
        <w:rPr>
          <w:rFonts w:ascii="Arial" w:hAnsi="Arial" w:cs="Arial"/>
          <w:b/>
          <w:bCs/>
        </w:rPr>
        <w:t xml:space="preserve"> </w:t>
      </w:r>
      <w:r w:rsidR="00C417FB" w:rsidRPr="0086466C">
        <w:rPr>
          <w:rFonts w:ascii="Arial" w:hAnsi="Arial" w:cs="Arial"/>
          <w:b/>
          <w:bCs/>
        </w:rPr>
        <w:t>tvoří zejména subjekty stojící mimo GPN</w:t>
      </w:r>
      <w:r w:rsidR="00531965" w:rsidRPr="0086466C">
        <w:rPr>
          <w:rFonts w:ascii="Arial" w:hAnsi="Arial" w:cs="Arial"/>
        </w:rPr>
        <w:t xml:space="preserve"> a z</w:t>
      </w:r>
      <w:r w:rsidR="00AA7244" w:rsidRPr="0086466C">
        <w:rPr>
          <w:rFonts w:ascii="Arial" w:hAnsi="Arial" w:cs="Arial"/>
        </w:rPr>
        <w:t>astoupen</w:t>
      </w:r>
      <w:r w:rsidR="00F860D9" w:rsidRPr="0086466C">
        <w:rPr>
          <w:rFonts w:ascii="Arial" w:hAnsi="Arial" w:cs="Arial"/>
        </w:rPr>
        <w:t>i</w:t>
      </w:r>
      <w:r w:rsidR="00AA7244" w:rsidRPr="0086466C">
        <w:rPr>
          <w:rFonts w:ascii="Arial" w:hAnsi="Arial" w:cs="Arial"/>
        </w:rPr>
        <w:t xml:space="preserve"> jsou zde integrátoři a pobočky zahraničních vedoucích firem</w:t>
      </w:r>
      <w:r w:rsidR="00880080" w:rsidRPr="0086466C">
        <w:rPr>
          <w:rFonts w:ascii="Arial" w:hAnsi="Arial" w:cs="Arial"/>
        </w:rPr>
        <w:t>. Podobnou charakteristiku má také klastr Stavebnictv</w:t>
      </w:r>
      <w:r w:rsidR="00531965" w:rsidRPr="0086466C">
        <w:rPr>
          <w:rFonts w:ascii="Arial" w:hAnsi="Arial" w:cs="Arial"/>
        </w:rPr>
        <w:t>í.</w:t>
      </w:r>
      <w:r w:rsidR="00DD7562" w:rsidRPr="0086466C">
        <w:rPr>
          <w:rFonts w:ascii="Arial" w:hAnsi="Arial" w:cs="Arial"/>
        </w:rPr>
        <w:t xml:space="preserve"> Naopak </w:t>
      </w:r>
      <w:r w:rsidR="00F52093" w:rsidRPr="0086466C">
        <w:rPr>
          <w:rFonts w:ascii="Arial" w:hAnsi="Arial" w:cs="Arial"/>
        </w:rPr>
        <w:t xml:space="preserve">v </w:t>
      </w:r>
      <w:r w:rsidR="00DD7562" w:rsidRPr="0086466C">
        <w:rPr>
          <w:rFonts w:ascii="Arial" w:hAnsi="Arial" w:cs="Arial"/>
        </w:rPr>
        <w:t>klastr</w:t>
      </w:r>
      <w:r w:rsidR="00F52093" w:rsidRPr="0086466C">
        <w:rPr>
          <w:rFonts w:ascii="Arial" w:hAnsi="Arial" w:cs="Arial"/>
        </w:rPr>
        <w:t>ech</w:t>
      </w:r>
      <w:r w:rsidR="00DD7562" w:rsidRPr="0086466C">
        <w:rPr>
          <w:rFonts w:ascii="Arial" w:hAnsi="Arial" w:cs="Arial"/>
        </w:rPr>
        <w:t xml:space="preserve"> </w:t>
      </w:r>
      <w:r w:rsidR="00DD7562" w:rsidRPr="0086466C">
        <w:rPr>
          <w:rFonts w:ascii="Arial" w:hAnsi="Arial" w:cs="Arial"/>
          <w:b/>
          <w:bCs/>
        </w:rPr>
        <w:t xml:space="preserve">Elektrotechnika a </w:t>
      </w:r>
      <w:proofErr w:type="spellStart"/>
      <w:r w:rsidR="00F52093" w:rsidRPr="0086466C">
        <w:rPr>
          <w:rFonts w:ascii="Arial" w:hAnsi="Arial" w:cs="Arial"/>
          <w:b/>
          <w:bCs/>
        </w:rPr>
        <w:t>Plastikářství</w:t>
      </w:r>
      <w:proofErr w:type="spellEnd"/>
      <w:r w:rsidR="00F52093" w:rsidRPr="0086466C">
        <w:rPr>
          <w:rFonts w:ascii="Arial" w:hAnsi="Arial" w:cs="Arial"/>
          <w:b/>
          <w:bCs/>
        </w:rPr>
        <w:t xml:space="preserve"> </w:t>
      </w:r>
      <w:r w:rsidR="00A72E5A" w:rsidRPr="0086466C">
        <w:rPr>
          <w:rFonts w:ascii="Arial" w:hAnsi="Arial" w:cs="Arial"/>
        </w:rPr>
        <w:t xml:space="preserve">se uplatňují hlavně </w:t>
      </w:r>
      <w:r w:rsidR="00A72E5A" w:rsidRPr="0086466C">
        <w:rPr>
          <w:rFonts w:ascii="Arial" w:hAnsi="Arial" w:cs="Arial"/>
          <w:b/>
          <w:bCs/>
        </w:rPr>
        <w:t>dodavatelé či subjekty mimo GPN</w:t>
      </w:r>
      <w:r w:rsidR="00A72E5A" w:rsidRPr="0086466C">
        <w:rPr>
          <w:rFonts w:ascii="Arial" w:hAnsi="Arial" w:cs="Arial"/>
        </w:rPr>
        <w:t>.</w:t>
      </w:r>
      <w:r w:rsidR="00C8457A" w:rsidRPr="0086466C">
        <w:rPr>
          <w:rFonts w:ascii="Arial" w:hAnsi="Arial" w:cs="Arial"/>
        </w:rPr>
        <w:t xml:space="preserve"> </w:t>
      </w:r>
      <w:r w:rsidR="002A001D" w:rsidRPr="0086466C">
        <w:rPr>
          <w:rFonts w:ascii="Arial" w:hAnsi="Arial" w:cs="Arial"/>
          <w:b/>
          <w:bCs/>
        </w:rPr>
        <w:t>Málo početné klastry</w:t>
      </w:r>
      <w:r w:rsidR="002A001D" w:rsidRPr="0086466C">
        <w:rPr>
          <w:rFonts w:ascii="Arial" w:hAnsi="Arial" w:cs="Arial"/>
        </w:rPr>
        <w:t xml:space="preserve"> Energetika, Potravinářství a gastronomie, Zdravotnictví, Chemický průmysl a </w:t>
      </w:r>
      <w:r w:rsidR="005125E2" w:rsidRPr="0086466C">
        <w:rPr>
          <w:rFonts w:ascii="Arial" w:hAnsi="Arial" w:cs="Arial"/>
        </w:rPr>
        <w:t xml:space="preserve">Sklářství zahrnují poměrně </w:t>
      </w:r>
      <w:r w:rsidR="005125E2" w:rsidRPr="0086466C">
        <w:rPr>
          <w:rFonts w:ascii="Arial" w:hAnsi="Arial" w:cs="Arial"/>
          <w:b/>
          <w:bCs/>
        </w:rPr>
        <w:t>vysoký podíl subjektů v postavení poboček zahraničních</w:t>
      </w:r>
      <w:r w:rsidR="008355BA" w:rsidRPr="0086466C">
        <w:rPr>
          <w:rFonts w:ascii="Arial" w:hAnsi="Arial" w:cs="Arial"/>
          <w:b/>
          <w:bCs/>
        </w:rPr>
        <w:t xml:space="preserve"> vedoucích firem</w:t>
      </w:r>
      <w:r w:rsidR="008355BA" w:rsidRPr="0086466C">
        <w:rPr>
          <w:rFonts w:ascii="Arial" w:hAnsi="Arial" w:cs="Arial"/>
        </w:rPr>
        <w:t>.</w:t>
      </w:r>
    </w:p>
    <w:p w14:paraId="5CC1D74F" w14:textId="711FB5D7" w:rsidR="00BF16B6" w:rsidRPr="0086466C" w:rsidRDefault="002118CC" w:rsidP="00BD47CA">
      <w:pPr>
        <w:spacing w:before="120" w:after="0"/>
        <w:jc w:val="both"/>
        <w:rPr>
          <w:rFonts w:ascii="Arial" w:hAnsi="Arial" w:cs="Arial"/>
        </w:rPr>
      </w:pPr>
      <w:r w:rsidRPr="0086466C">
        <w:rPr>
          <w:noProof/>
        </w:rPr>
        <w:drawing>
          <wp:inline distT="0" distB="0" distL="0" distR="0" wp14:anchorId="688FEAC5" wp14:editId="6FD7F18A">
            <wp:extent cx="5797550" cy="3467100"/>
            <wp:effectExtent l="0" t="0" r="12700" b="0"/>
            <wp:docPr id="1524240750" name="Graf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B00-000010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14:paraId="4A53C2FB" w14:textId="023DE930" w:rsidR="00597F4E" w:rsidRPr="0086466C" w:rsidRDefault="00722D95" w:rsidP="00BD47CA">
      <w:pPr>
        <w:spacing w:before="120" w:after="0"/>
        <w:jc w:val="both"/>
        <w:rPr>
          <w:rFonts w:ascii="Arial" w:hAnsi="Arial" w:cs="Arial"/>
        </w:rPr>
      </w:pPr>
      <w:r w:rsidRPr="0086466C">
        <w:rPr>
          <w:rFonts w:ascii="Arial" w:hAnsi="Arial" w:cs="Arial"/>
        </w:rPr>
        <w:lastRenderedPageBreak/>
        <w:t xml:space="preserve">Mezi </w:t>
      </w:r>
      <w:r w:rsidRPr="0086466C">
        <w:rPr>
          <w:rFonts w:ascii="Arial" w:hAnsi="Arial" w:cs="Arial"/>
          <w:b/>
          <w:bCs/>
        </w:rPr>
        <w:t>subjekty s vlastním výzkumem a vývojem</w:t>
      </w:r>
      <w:r w:rsidR="00014FDA" w:rsidRPr="0086466C">
        <w:rPr>
          <w:rFonts w:ascii="Arial" w:hAnsi="Arial" w:cs="Arial"/>
          <w:b/>
          <w:bCs/>
        </w:rPr>
        <w:t xml:space="preserve"> </w:t>
      </w:r>
      <w:r w:rsidR="00D502CC" w:rsidRPr="0086466C">
        <w:rPr>
          <w:rFonts w:ascii="Arial" w:hAnsi="Arial" w:cs="Arial"/>
          <w:b/>
          <w:bCs/>
        </w:rPr>
        <w:t>je více než polovina</w:t>
      </w:r>
      <w:r w:rsidR="00D81019" w:rsidRPr="0086466C">
        <w:rPr>
          <w:rFonts w:ascii="Arial" w:hAnsi="Arial" w:cs="Arial"/>
          <w:b/>
          <w:bCs/>
        </w:rPr>
        <w:t xml:space="preserve"> stojící mimo GPN</w:t>
      </w:r>
      <w:r w:rsidR="00D502CC" w:rsidRPr="0086466C">
        <w:rPr>
          <w:rFonts w:ascii="Arial" w:hAnsi="Arial" w:cs="Arial"/>
        </w:rPr>
        <w:t xml:space="preserve"> (58 %)</w:t>
      </w:r>
      <w:r w:rsidR="00CF4841" w:rsidRPr="0086466C">
        <w:rPr>
          <w:rFonts w:ascii="Arial" w:hAnsi="Arial" w:cs="Arial"/>
        </w:rPr>
        <w:t xml:space="preserve"> a navíc je </w:t>
      </w:r>
      <w:r w:rsidR="003656C2" w:rsidRPr="0086466C">
        <w:rPr>
          <w:rFonts w:ascii="Arial" w:hAnsi="Arial" w:cs="Arial"/>
        </w:rPr>
        <w:t>jen čtvrtina z nich ve vlastnictví zahraničního vlastníka</w:t>
      </w:r>
      <w:r w:rsidR="001409FD" w:rsidRPr="0086466C">
        <w:rPr>
          <w:rFonts w:ascii="Arial" w:hAnsi="Arial" w:cs="Arial"/>
        </w:rPr>
        <w:t xml:space="preserve"> (viz graf </w:t>
      </w:r>
      <w:r w:rsidR="00445A72" w:rsidRPr="0086466C">
        <w:rPr>
          <w:rFonts w:ascii="Arial" w:hAnsi="Arial" w:cs="Arial"/>
        </w:rPr>
        <w:t>22</w:t>
      </w:r>
      <w:r w:rsidR="001409FD" w:rsidRPr="0086466C">
        <w:rPr>
          <w:rFonts w:ascii="Arial" w:hAnsi="Arial" w:cs="Arial"/>
        </w:rPr>
        <w:t>)</w:t>
      </w:r>
      <w:r w:rsidR="003656C2" w:rsidRPr="0086466C">
        <w:rPr>
          <w:rFonts w:ascii="Arial" w:hAnsi="Arial" w:cs="Arial"/>
        </w:rPr>
        <w:t xml:space="preserve">. </w:t>
      </w:r>
      <w:r w:rsidR="00F149AC" w:rsidRPr="0086466C">
        <w:rPr>
          <w:rFonts w:ascii="Arial" w:hAnsi="Arial" w:cs="Arial"/>
        </w:rPr>
        <w:t>Více subjektů s vlastním výzkumem a vývojem najdeme také mezi vedoucími firmami (včetně jedné pobočky vedoucí zahraniční firmy)</w:t>
      </w:r>
      <w:r w:rsidR="006606F5" w:rsidRPr="0086466C">
        <w:rPr>
          <w:rFonts w:ascii="Arial" w:hAnsi="Arial" w:cs="Arial"/>
        </w:rPr>
        <w:t xml:space="preserve">. Vlastní výzkum a vývoj má také 5 subjektů v pozici dodavatelů 1. nebo 2. řádu. Naopak </w:t>
      </w:r>
      <w:r w:rsidR="006606F5" w:rsidRPr="0086466C">
        <w:rPr>
          <w:rFonts w:ascii="Arial" w:hAnsi="Arial" w:cs="Arial"/>
          <w:b/>
          <w:bCs/>
        </w:rPr>
        <w:t>na pozici dodavatele 3. řádu nenajdeme žádný podnik s vlastním výzkumem</w:t>
      </w:r>
      <w:r w:rsidR="006606F5" w:rsidRPr="0086466C">
        <w:rPr>
          <w:rFonts w:ascii="Arial" w:hAnsi="Arial" w:cs="Arial"/>
        </w:rPr>
        <w:t xml:space="preserve"> a vývojem.</w:t>
      </w:r>
    </w:p>
    <w:p w14:paraId="36721BAA" w14:textId="1F98891E" w:rsidR="004924F8" w:rsidRPr="0086466C" w:rsidRDefault="001409FD" w:rsidP="00BD47CA">
      <w:pPr>
        <w:spacing w:before="120" w:after="0"/>
        <w:jc w:val="both"/>
        <w:rPr>
          <w:rFonts w:ascii="Arial" w:hAnsi="Arial" w:cs="Arial"/>
        </w:rPr>
      </w:pPr>
      <w:r w:rsidRPr="0086466C">
        <w:rPr>
          <w:noProof/>
        </w:rPr>
        <w:drawing>
          <wp:inline distT="0" distB="0" distL="0" distR="0" wp14:anchorId="40A5E521" wp14:editId="389C96E8">
            <wp:extent cx="5656580" cy="2295525"/>
            <wp:effectExtent l="0" t="0" r="1270" b="9525"/>
            <wp:docPr id="2142655414" name="Graf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1300-00002B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14:paraId="3B91F14A" w14:textId="3F534929" w:rsidR="0078302C" w:rsidRPr="0086466C" w:rsidRDefault="001B3611" w:rsidP="00E65054">
      <w:pPr>
        <w:spacing w:before="120" w:after="0"/>
        <w:jc w:val="both"/>
        <w:rPr>
          <w:rFonts w:ascii="Arial" w:hAnsi="Arial" w:cs="Arial"/>
        </w:rPr>
      </w:pPr>
      <w:r w:rsidRPr="0086466C">
        <w:rPr>
          <w:rFonts w:ascii="Arial" w:hAnsi="Arial" w:cs="Arial"/>
        </w:rPr>
        <w:t xml:space="preserve">Poslední hodnocenou charakteristikou </w:t>
      </w:r>
      <w:r w:rsidR="00BF760F" w:rsidRPr="0086466C">
        <w:rPr>
          <w:rFonts w:ascii="Arial" w:hAnsi="Arial" w:cs="Arial"/>
        </w:rPr>
        <w:t xml:space="preserve">ekonomických subjektů </w:t>
      </w:r>
      <w:r w:rsidRPr="0086466C">
        <w:rPr>
          <w:rFonts w:ascii="Arial" w:hAnsi="Arial" w:cs="Arial"/>
        </w:rPr>
        <w:t xml:space="preserve">je </w:t>
      </w:r>
      <w:r w:rsidRPr="0086466C">
        <w:rPr>
          <w:rFonts w:ascii="Arial" w:hAnsi="Arial" w:cs="Arial"/>
          <w:b/>
          <w:bCs/>
        </w:rPr>
        <w:t>lokalizace ekonomických subjektů v Plzeňském kraji dle okresu</w:t>
      </w:r>
      <w:r w:rsidRPr="0086466C">
        <w:rPr>
          <w:rFonts w:ascii="Arial" w:hAnsi="Arial" w:cs="Arial"/>
        </w:rPr>
        <w:t xml:space="preserve"> sídla společnosti</w:t>
      </w:r>
      <w:r w:rsidR="00F53F25" w:rsidRPr="0086466C">
        <w:rPr>
          <w:rFonts w:ascii="Arial" w:hAnsi="Arial" w:cs="Arial"/>
        </w:rPr>
        <w:t xml:space="preserve"> a jejich postavení v GPN</w:t>
      </w:r>
      <w:r w:rsidRPr="0086466C">
        <w:rPr>
          <w:rFonts w:ascii="Arial" w:hAnsi="Arial" w:cs="Arial"/>
        </w:rPr>
        <w:t>.</w:t>
      </w:r>
      <w:r w:rsidR="00F53F25" w:rsidRPr="0086466C">
        <w:rPr>
          <w:rFonts w:ascii="Arial" w:hAnsi="Arial" w:cs="Arial"/>
        </w:rPr>
        <w:t xml:space="preserve"> Komplexní pohled na strukturu ekonomických su</w:t>
      </w:r>
      <w:r w:rsidR="009A4619" w:rsidRPr="0086466C">
        <w:rPr>
          <w:rFonts w:ascii="Arial" w:hAnsi="Arial" w:cs="Arial"/>
        </w:rPr>
        <w:t>bjektů dle sídla, postavení v GPN a vlastnictví zobrazuje</w:t>
      </w:r>
      <w:r w:rsidR="00B1799B" w:rsidRPr="0086466C">
        <w:rPr>
          <w:rFonts w:ascii="Arial" w:hAnsi="Arial" w:cs="Arial"/>
        </w:rPr>
        <w:t xml:space="preserve"> poměrně komplexní</w:t>
      </w:r>
      <w:r w:rsidR="009A4619" w:rsidRPr="0086466C">
        <w:rPr>
          <w:rFonts w:ascii="Arial" w:hAnsi="Arial" w:cs="Arial"/>
        </w:rPr>
        <w:t xml:space="preserve"> graf </w:t>
      </w:r>
      <w:r w:rsidR="00D040F5" w:rsidRPr="0086466C">
        <w:rPr>
          <w:rFonts w:ascii="Arial" w:hAnsi="Arial" w:cs="Arial"/>
        </w:rPr>
        <w:t>23</w:t>
      </w:r>
      <w:r w:rsidR="009A4619" w:rsidRPr="0086466C">
        <w:rPr>
          <w:rFonts w:ascii="Arial" w:hAnsi="Arial" w:cs="Arial"/>
        </w:rPr>
        <w:t xml:space="preserve">. </w:t>
      </w:r>
    </w:p>
    <w:p w14:paraId="6438BEB8" w14:textId="77777777" w:rsidR="00BF228A" w:rsidRPr="0086466C" w:rsidRDefault="009A4619" w:rsidP="00E65054">
      <w:pPr>
        <w:spacing w:before="120" w:after="0"/>
        <w:jc w:val="both"/>
        <w:rPr>
          <w:rFonts w:ascii="Arial" w:hAnsi="Arial" w:cs="Arial"/>
        </w:rPr>
      </w:pPr>
      <w:r w:rsidRPr="0086466C">
        <w:rPr>
          <w:rFonts w:ascii="Arial" w:hAnsi="Arial" w:cs="Arial"/>
        </w:rPr>
        <w:t xml:space="preserve">Jediný okres, v němž </w:t>
      </w:r>
      <w:r w:rsidRPr="0086466C">
        <w:rPr>
          <w:rFonts w:ascii="Arial" w:hAnsi="Arial" w:cs="Arial"/>
          <w:b/>
          <w:bCs/>
        </w:rPr>
        <w:t>sídlí tuzemské vedoucí firmy, je okres Plzeň – město</w:t>
      </w:r>
      <w:r w:rsidRPr="0086466C">
        <w:rPr>
          <w:rFonts w:ascii="Arial" w:hAnsi="Arial" w:cs="Arial"/>
        </w:rPr>
        <w:t xml:space="preserve">. Zde také sídlí </w:t>
      </w:r>
      <w:r w:rsidRPr="0086466C">
        <w:rPr>
          <w:rFonts w:ascii="Arial" w:hAnsi="Arial" w:cs="Arial"/>
          <w:b/>
          <w:bCs/>
        </w:rPr>
        <w:t>nejvíce poboček zahraničních integrátorů</w:t>
      </w:r>
      <w:r w:rsidRPr="0086466C">
        <w:rPr>
          <w:rFonts w:ascii="Arial" w:hAnsi="Arial" w:cs="Arial"/>
        </w:rPr>
        <w:t xml:space="preserve"> (9)</w:t>
      </w:r>
      <w:r w:rsidR="002548C1" w:rsidRPr="0086466C">
        <w:rPr>
          <w:rFonts w:ascii="Arial" w:hAnsi="Arial" w:cs="Arial"/>
        </w:rPr>
        <w:t xml:space="preserve"> </w:t>
      </w:r>
      <w:r w:rsidR="002548C1" w:rsidRPr="0086466C">
        <w:rPr>
          <w:rFonts w:ascii="Arial" w:hAnsi="Arial" w:cs="Arial"/>
          <w:b/>
          <w:bCs/>
        </w:rPr>
        <w:t xml:space="preserve">a </w:t>
      </w:r>
      <w:r w:rsidR="00613758" w:rsidRPr="0086466C">
        <w:rPr>
          <w:rFonts w:ascii="Arial" w:hAnsi="Arial" w:cs="Arial"/>
          <w:b/>
          <w:bCs/>
        </w:rPr>
        <w:t>dodavatelů</w:t>
      </w:r>
      <w:r w:rsidR="002548C1" w:rsidRPr="0086466C">
        <w:rPr>
          <w:rFonts w:ascii="Arial" w:hAnsi="Arial" w:cs="Arial"/>
          <w:b/>
          <w:bCs/>
        </w:rPr>
        <w:t xml:space="preserve"> 1. řádu</w:t>
      </w:r>
      <w:r w:rsidR="002548C1" w:rsidRPr="0086466C">
        <w:rPr>
          <w:rFonts w:ascii="Arial" w:hAnsi="Arial" w:cs="Arial"/>
        </w:rPr>
        <w:t xml:space="preserve"> (7)</w:t>
      </w:r>
      <w:r w:rsidRPr="0086466C">
        <w:rPr>
          <w:rFonts w:ascii="Arial" w:hAnsi="Arial" w:cs="Arial"/>
        </w:rPr>
        <w:t xml:space="preserve">. </w:t>
      </w:r>
      <w:r w:rsidR="00AE0ED3" w:rsidRPr="0086466C">
        <w:rPr>
          <w:rFonts w:ascii="Arial" w:hAnsi="Arial" w:cs="Arial"/>
        </w:rPr>
        <w:t xml:space="preserve">S 5 </w:t>
      </w:r>
      <w:r w:rsidR="00AE0ED3" w:rsidRPr="0086466C">
        <w:rPr>
          <w:rFonts w:ascii="Arial" w:hAnsi="Arial" w:cs="Arial"/>
          <w:b/>
          <w:bCs/>
        </w:rPr>
        <w:t>pobočkami zahraničních integrátorů</w:t>
      </w:r>
      <w:r w:rsidR="00AE0ED3" w:rsidRPr="0086466C">
        <w:rPr>
          <w:rFonts w:ascii="Arial" w:hAnsi="Arial" w:cs="Arial"/>
        </w:rPr>
        <w:t xml:space="preserve"> následuje okres </w:t>
      </w:r>
      <w:r w:rsidR="00AE0ED3" w:rsidRPr="0086466C">
        <w:rPr>
          <w:rFonts w:ascii="Arial" w:hAnsi="Arial" w:cs="Arial"/>
          <w:b/>
          <w:bCs/>
        </w:rPr>
        <w:t>Klatovy</w:t>
      </w:r>
      <w:r w:rsidR="0098374A" w:rsidRPr="0086466C">
        <w:rPr>
          <w:rFonts w:ascii="Arial" w:hAnsi="Arial" w:cs="Arial"/>
        </w:rPr>
        <w:t xml:space="preserve">, kde však nenajdeme </w:t>
      </w:r>
      <w:r w:rsidR="0098374A" w:rsidRPr="0086466C">
        <w:rPr>
          <w:rFonts w:ascii="Arial" w:hAnsi="Arial" w:cs="Arial"/>
          <w:b/>
          <w:bCs/>
        </w:rPr>
        <w:t>žádného dodavatele 1. řádu</w:t>
      </w:r>
      <w:r w:rsidR="0078302C" w:rsidRPr="0086466C">
        <w:rPr>
          <w:rFonts w:ascii="Arial" w:hAnsi="Arial" w:cs="Arial"/>
        </w:rPr>
        <w:t>.</w:t>
      </w:r>
      <w:r w:rsidR="0098374A" w:rsidRPr="0086466C">
        <w:rPr>
          <w:rFonts w:ascii="Arial" w:hAnsi="Arial" w:cs="Arial"/>
        </w:rPr>
        <w:t xml:space="preserve"> Stejně </w:t>
      </w:r>
      <w:r w:rsidR="0098374A" w:rsidRPr="0086466C">
        <w:rPr>
          <w:rFonts w:ascii="Arial" w:hAnsi="Arial" w:cs="Arial"/>
          <w:b/>
          <w:bCs/>
        </w:rPr>
        <w:t xml:space="preserve">tak </w:t>
      </w:r>
      <w:r w:rsidR="0078302C" w:rsidRPr="0086466C">
        <w:rPr>
          <w:rFonts w:ascii="Arial" w:hAnsi="Arial" w:cs="Arial"/>
          <w:b/>
          <w:bCs/>
        </w:rPr>
        <w:t xml:space="preserve">žádný dodavatel 1. řádu nepůsobí </w:t>
      </w:r>
      <w:r w:rsidR="0098374A" w:rsidRPr="0086466C">
        <w:rPr>
          <w:rFonts w:ascii="Arial" w:hAnsi="Arial" w:cs="Arial"/>
          <w:b/>
          <w:bCs/>
        </w:rPr>
        <w:t>v okrese Domažlice a Rokycany</w:t>
      </w:r>
      <w:r w:rsidR="0098374A" w:rsidRPr="0086466C">
        <w:rPr>
          <w:rFonts w:ascii="Arial" w:hAnsi="Arial" w:cs="Arial"/>
        </w:rPr>
        <w:t xml:space="preserve">, které mají </w:t>
      </w:r>
      <w:r w:rsidR="0098374A" w:rsidRPr="0086466C">
        <w:rPr>
          <w:rFonts w:ascii="Arial" w:hAnsi="Arial" w:cs="Arial"/>
          <w:b/>
          <w:bCs/>
        </w:rPr>
        <w:t>shodně po 2 pobočkách zahraničních integrátorů</w:t>
      </w:r>
      <w:r w:rsidR="007042F7" w:rsidRPr="0086466C">
        <w:rPr>
          <w:rFonts w:ascii="Arial" w:hAnsi="Arial" w:cs="Arial"/>
        </w:rPr>
        <w:t>.</w:t>
      </w:r>
      <w:r w:rsidR="001D59D9" w:rsidRPr="0086466C">
        <w:rPr>
          <w:rFonts w:ascii="Arial" w:hAnsi="Arial" w:cs="Arial"/>
        </w:rPr>
        <w:t xml:space="preserve"> </w:t>
      </w:r>
      <w:r w:rsidR="007042F7" w:rsidRPr="0086466C">
        <w:rPr>
          <w:rFonts w:ascii="Arial" w:hAnsi="Arial" w:cs="Arial"/>
        </w:rPr>
        <w:t xml:space="preserve">Okres </w:t>
      </w:r>
      <w:r w:rsidR="007042F7" w:rsidRPr="0086466C">
        <w:rPr>
          <w:rFonts w:ascii="Arial" w:hAnsi="Arial" w:cs="Arial"/>
          <w:b/>
          <w:bCs/>
        </w:rPr>
        <w:t>Plzeň – jih j</w:t>
      </w:r>
      <w:r w:rsidR="005B33D3" w:rsidRPr="0086466C">
        <w:rPr>
          <w:rFonts w:ascii="Arial" w:hAnsi="Arial" w:cs="Arial"/>
          <w:b/>
          <w:bCs/>
        </w:rPr>
        <w:t>e</w:t>
      </w:r>
      <w:r w:rsidR="007042F7" w:rsidRPr="0086466C">
        <w:rPr>
          <w:rFonts w:ascii="Arial" w:hAnsi="Arial" w:cs="Arial"/>
          <w:b/>
          <w:bCs/>
        </w:rPr>
        <w:t xml:space="preserve"> jediný okres, kde nemá sídlo žádn</w:t>
      </w:r>
      <w:r w:rsidR="00AE1A26" w:rsidRPr="0086466C">
        <w:rPr>
          <w:rFonts w:ascii="Arial" w:hAnsi="Arial" w:cs="Arial"/>
          <w:b/>
          <w:bCs/>
        </w:rPr>
        <w:t xml:space="preserve">ý integrátor </w:t>
      </w:r>
      <w:r w:rsidR="00D412E5" w:rsidRPr="0086466C">
        <w:rPr>
          <w:rFonts w:ascii="Arial" w:hAnsi="Arial" w:cs="Arial"/>
        </w:rPr>
        <w:t>a všechny místní subjekty jsou v méně výhodném postavení dodavatelů nižších řádů či stojí mimo GPN.</w:t>
      </w:r>
      <w:r w:rsidR="00AE1A26" w:rsidRPr="0086466C">
        <w:rPr>
          <w:rFonts w:ascii="Arial" w:hAnsi="Arial" w:cs="Arial"/>
        </w:rPr>
        <w:t xml:space="preserve"> </w:t>
      </w:r>
    </w:p>
    <w:p w14:paraId="253EE2F1" w14:textId="695D1316" w:rsidR="00E85337" w:rsidRPr="0086466C" w:rsidRDefault="00AE1A26" w:rsidP="00E65054">
      <w:pPr>
        <w:spacing w:before="120" w:after="0"/>
        <w:jc w:val="both"/>
        <w:rPr>
          <w:rFonts w:ascii="Arial" w:hAnsi="Arial" w:cs="Arial"/>
        </w:rPr>
      </w:pPr>
      <w:r w:rsidRPr="0086466C">
        <w:rPr>
          <w:rFonts w:ascii="Arial" w:hAnsi="Arial" w:cs="Arial"/>
          <w:b/>
          <w:bCs/>
        </w:rPr>
        <w:t>Nejvíce subjektů stojících mimo GPN</w:t>
      </w:r>
      <w:r w:rsidRPr="0086466C">
        <w:rPr>
          <w:rFonts w:ascii="Arial" w:hAnsi="Arial" w:cs="Arial"/>
        </w:rPr>
        <w:t xml:space="preserve"> sídlí v okresu Plzeň – město (29) a </w:t>
      </w:r>
      <w:r w:rsidRPr="0086466C">
        <w:rPr>
          <w:rFonts w:ascii="Arial" w:hAnsi="Arial" w:cs="Arial"/>
          <w:b/>
          <w:bCs/>
        </w:rPr>
        <w:t>Rokycany</w:t>
      </w:r>
      <w:r w:rsidRPr="0086466C">
        <w:rPr>
          <w:rFonts w:ascii="Arial" w:hAnsi="Arial" w:cs="Arial"/>
        </w:rPr>
        <w:t xml:space="preserve"> (11), kde je také </w:t>
      </w:r>
      <w:r w:rsidRPr="0086466C">
        <w:rPr>
          <w:rFonts w:ascii="Arial" w:hAnsi="Arial" w:cs="Arial"/>
          <w:b/>
          <w:bCs/>
        </w:rPr>
        <w:t>zajímavá dominance domácích subjektů nad zahraničními jako v jediném okrese v</w:t>
      </w:r>
      <w:r w:rsidR="007123AA" w:rsidRPr="0086466C">
        <w:rPr>
          <w:rFonts w:ascii="Arial" w:hAnsi="Arial" w:cs="Arial"/>
          <w:b/>
          <w:bCs/>
        </w:rPr>
        <w:t> </w:t>
      </w:r>
      <w:r w:rsidRPr="0086466C">
        <w:rPr>
          <w:rFonts w:ascii="Arial" w:hAnsi="Arial" w:cs="Arial"/>
          <w:b/>
          <w:bCs/>
        </w:rPr>
        <w:t>kraji</w:t>
      </w:r>
      <w:r w:rsidR="007123AA" w:rsidRPr="0086466C">
        <w:rPr>
          <w:rFonts w:ascii="Arial" w:hAnsi="Arial" w:cs="Arial"/>
          <w:b/>
          <w:bCs/>
        </w:rPr>
        <w:t xml:space="preserve"> </w:t>
      </w:r>
      <w:r w:rsidR="007123AA" w:rsidRPr="0086466C">
        <w:rPr>
          <w:rFonts w:ascii="Arial" w:hAnsi="Arial" w:cs="Arial"/>
        </w:rPr>
        <w:t xml:space="preserve">(11 dom. X 5 </w:t>
      </w:r>
      <w:proofErr w:type="spellStart"/>
      <w:r w:rsidR="007123AA" w:rsidRPr="0086466C">
        <w:rPr>
          <w:rFonts w:ascii="Arial" w:hAnsi="Arial" w:cs="Arial"/>
        </w:rPr>
        <w:t>zahr</w:t>
      </w:r>
      <w:proofErr w:type="spellEnd"/>
      <w:r w:rsidR="007123AA" w:rsidRPr="0086466C">
        <w:rPr>
          <w:rFonts w:ascii="Arial" w:hAnsi="Arial" w:cs="Arial"/>
        </w:rPr>
        <w:t>.)</w:t>
      </w:r>
      <w:r w:rsidRPr="0086466C">
        <w:rPr>
          <w:rFonts w:ascii="Arial" w:hAnsi="Arial" w:cs="Arial"/>
        </w:rPr>
        <w:t>.</w:t>
      </w:r>
      <w:r w:rsidR="004365C1" w:rsidRPr="0086466C">
        <w:rPr>
          <w:rFonts w:ascii="Arial" w:hAnsi="Arial" w:cs="Arial"/>
        </w:rPr>
        <w:t xml:space="preserve"> </w:t>
      </w:r>
      <w:r w:rsidR="005A63E7" w:rsidRPr="0086466C">
        <w:rPr>
          <w:rFonts w:ascii="Arial" w:hAnsi="Arial" w:cs="Arial"/>
        </w:rPr>
        <w:t xml:space="preserve">Ve všech ostatních okresech </w:t>
      </w:r>
      <w:r w:rsidR="005A63E7" w:rsidRPr="0086466C">
        <w:rPr>
          <w:rFonts w:ascii="Arial" w:hAnsi="Arial" w:cs="Arial"/>
          <w:b/>
          <w:bCs/>
        </w:rPr>
        <w:t>výrazně převažují zahraniční firmy nad domácími</w:t>
      </w:r>
      <w:r w:rsidR="005A63E7" w:rsidRPr="0086466C">
        <w:rPr>
          <w:rFonts w:ascii="Arial" w:hAnsi="Arial" w:cs="Arial"/>
        </w:rPr>
        <w:t>.</w:t>
      </w:r>
      <w:r w:rsidR="004365C1" w:rsidRPr="0086466C">
        <w:rPr>
          <w:rFonts w:ascii="Arial" w:hAnsi="Arial" w:cs="Arial"/>
        </w:rPr>
        <w:t xml:space="preserve"> Největší nepoměr mezi domácími a zahraničními subjekty je v okrese Tachov (3 domácí ES X </w:t>
      </w:r>
      <w:r w:rsidR="00487F76" w:rsidRPr="0086466C">
        <w:rPr>
          <w:rFonts w:ascii="Arial" w:hAnsi="Arial" w:cs="Arial"/>
        </w:rPr>
        <w:t>28 zahraničních). V okresech Plzeň – sever (</w:t>
      </w:r>
      <w:r w:rsidR="00BE5E09" w:rsidRPr="0086466C">
        <w:rPr>
          <w:rFonts w:ascii="Arial" w:hAnsi="Arial" w:cs="Arial"/>
        </w:rPr>
        <w:t xml:space="preserve">8 dom. X 19 </w:t>
      </w:r>
      <w:proofErr w:type="spellStart"/>
      <w:r w:rsidR="00BE5E09" w:rsidRPr="0086466C">
        <w:rPr>
          <w:rFonts w:ascii="Arial" w:hAnsi="Arial" w:cs="Arial"/>
        </w:rPr>
        <w:t>zahr</w:t>
      </w:r>
      <w:proofErr w:type="spellEnd"/>
      <w:r w:rsidR="00BE5E09" w:rsidRPr="0086466C">
        <w:rPr>
          <w:rFonts w:ascii="Arial" w:hAnsi="Arial" w:cs="Arial"/>
        </w:rPr>
        <w:t>.) a Plzeň – jih (</w:t>
      </w:r>
      <w:r w:rsidR="00666986" w:rsidRPr="0086466C">
        <w:rPr>
          <w:rFonts w:ascii="Arial" w:hAnsi="Arial" w:cs="Arial"/>
        </w:rPr>
        <w:t>7</w:t>
      </w:r>
      <w:r w:rsidR="00BE5E09" w:rsidRPr="0086466C">
        <w:rPr>
          <w:rFonts w:ascii="Arial" w:hAnsi="Arial" w:cs="Arial"/>
        </w:rPr>
        <w:t xml:space="preserve"> dom. X </w:t>
      </w:r>
      <w:r w:rsidR="00666986" w:rsidRPr="0086466C">
        <w:rPr>
          <w:rFonts w:ascii="Arial" w:hAnsi="Arial" w:cs="Arial"/>
        </w:rPr>
        <w:t xml:space="preserve">18 </w:t>
      </w:r>
      <w:proofErr w:type="spellStart"/>
      <w:r w:rsidR="00666986" w:rsidRPr="0086466C">
        <w:rPr>
          <w:rFonts w:ascii="Arial" w:hAnsi="Arial" w:cs="Arial"/>
        </w:rPr>
        <w:t>zahr</w:t>
      </w:r>
      <w:proofErr w:type="spellEnd"/>
      <w:r w:rsidR="00666986" w:rsidRPr="0086466C">
        <w:rPr>
          <w:rFonts w:ascii="Arial" w:hAnsi="Arial" w:cs="Arial"/>
        </w:rPr>
        <w:t xml:space="preserve">.) je také nadpoloviční většina subjektů v zahraničním vlastnictví. </w:t>
      </w:r>
      <w:r w:rsidR="002169C5" w:rsidRPr="0086466C">
        <w:rPr>
          <w:rFonts w:ascii="Arial" w:hAnsi="Arial" w:cs="Arial"/>
          <w:b/>
          <w:bCs/>
        </w:rPr>
        <w:t>Silné zastoupení domácích firem je na Domažlicku</w:t>
      </w:r>
      <w:r w:rsidR="00C45032" w:rsidRPr="0086466C">
        <w:rPr>
          <w:rFonts w:ascii="Arial" w:hAnsi="Arial" w:cs="Arial"/>
        </w:rPr>
        <w:t xml:space="preserve">, kde tvoří </w:t>
      </w:r>
      <w:r w:rsidR="004656D9" w:rsidRPr="0086466C">
        <w:rPr>
          <w:rFonts w:ascii="Arial" w:hAnsi="Arial" w:cs="Arial"/>
        </w:rPr>
        <w:t>42 % subjektů</w:t>
      </w:r>
      <w:r w:rsidR="002169C5" w:rsidRPr="0086466C">
        <w:rPr>
          <w:rFonts w:ascii="Arial" w:hAnsi="Arial" w:cs="Arial"/>
        </w:rPr>
        <w:t xml:space="preserve"> (11 dom. X 15 </w:t>
      </w:r>
      <w:proofErr w:type="spellStart"/>
      <w:r w:rsidR="002169C5" w:rsidRPr="0086466C">
        <w:rPr>
          <w:rFonts w:ascii="Arial" w:hAnsi="Arial" w:cs="Arial"/>
        </w:rPr>
        <w:t>zahr</w:t>
      </w:r>
      <w:proofErr w:type="spellEnd"/>
      <w:r w:rsidR="002169C5" w:rsidRPr="0086466C">
        <w:rPr>
          <w:rFonts w:ascii="Arial" w:hAnsi="Arial" w:cs="Arial"/>
        </w:rPr>
        <w:t>.)</w:t>
      </w:r>
      <w:r w:rsidR="00C45032" w:rsidRPr="0086466C">
        <w:rPr>
          <w:rFonts w:ascii="Arial" w:hAnsi="Arial" w:cs="Arial"/>
        </w:rPr>
        <w:t>.</w:t>
      </w:r>
    </w:p>
    <w:p w14:paraId="5190E4C3" w14:textId="47BC7AD5" w:rsidR="00F80238" w:rsidRPr="0086466C" w:rsidRDefault="00B34124" w:rsidP="00E65054">
      <w:pPr>
        <w:spacing w:before="120" w:after="0"/>
        <w:jc w:val="both"/>
        <w:rPr>
          <w:rFonts w:ascii="Arial" w:hAnsi="Arial" w:cs="Arial"/>
        </w:rPr>
      </w:pPr>
      <w:r w:rsidRPr="0086466C">
        <w:rPr>
          <w:rFonts w:ascii="Arial" w:hAnsi="Arial" w:cs="Arial"/>
        </w:rPr>
        <w:t xml:space="preserve">Co se týká pozice v GPN a vlastnictví, tak </w:t>
      </w:r>
      <w:r w:rsidRPr="0086466C">
        <w:rPr>
          <w:rFonts w:ascii="Arial" w:hAnsi="Arial" w:cs="Arial"/>
          <w:b/>
          <w:bCs/>
        </w:rPr>
        <w:t>k</w:t>
      </w:r>
      <w:r w:rsidR="00F80238" w:rsidRPr="0086466C">
        <w:rPr>
          <w:rFonts w:ascii="Arial" w:hAnsi="Arial" w:cs="Arial"/>
          <w:b/>
          <w:bCs/>
        </w:rPr>
        <w:t>romě okresu Plzeň – město nejsou v dalších regionech zastoupeny domácí firmy ve výhodnějších pozicích</w:t>
      </w:r>
      <w:r w:rsidR="00F80238" w:rsidRPr="0086466C">
        <w:rPr>
          <w:rFonts w:ascii="Arial" w:hAnsi="Arial" w:cs="Arial"/>
        </w:rPr>
        <w:t xml:space="preserve"> </w:t>
      </w:r>
      <w:r w:rsidR="00F80238" w:rsidRPr="0086466C">
        <w:rPr>
          <w:rFonts w:ascii="Arial" w:hAnsi="Arial" w:cs="Arial"/>
          <w:b/>
          <w:bCs/>
        </w:rPr>
        <w:t>v rámci GPN</w:t>
      </w:r>
      <w:r w:rsidR="00F80238" w:rsidRPr="0086466C">
        <w:rPr>
          <w:rFonts w:ascii="Arial" w:hAnsi="Arial" w:cs="Arial"/>
        </w:rPr>
        <w:t>, pokud jsou do těchto sítí vůbec zapojeny.</w:t>
      </w:r>
      <w:r w:rsidR="00864A75" w:rsidRPr="0086466C">
        <w:rPr>
          <w:rFonts w:ascii="Arial" w:hAnsi="Arial" w:cs="Arial"/>
        </w:rPr>
        <w:t xml:space="preserve"> Dominují zde totiž </w:t>
      </w:r>
      <w:r w:rsidR="00864A75" w:rsidRPr="0086466C">
        <w:rPr>
          <w:rFonts w:ascii="Arial" w:hAnsi="Arial" w:cs="Arial"/>
          <w:b/>
          <w:bCs/>
        </w:rPr>
        <w:t>hlavně subjekty stojící mimo GPN</w:t>
      </w:r>
      <w:r w:rsidR="00864A75" w:rsidRPr="0086466C">
        <w:rPr>
          <w:rFonts w:ascii="Arial" w:hAnsi="Arial" w:cs="Arial"/>
        </w:rPr>
        <w:t xml:space="preserve">, nejčastěji s přístupem na koncový trh. Např. </w:t>
      </w:r>
      <w:r w:rsidR="00864A75" w:rsidRPr="0086466C">
        <w:rPr>
          <w:rFonts w:ascii="Arial" w:hAnsi="Arial" w:cs="Arial"/>
          <w:b/>
          <w:bCs/>
        </w:rPr>
        <w:t xml:space="preserve">v okresech Tachov, Rokycany či Plzeň – jih se nachází tuzemské subjekty pouze </w:t>
      </w:r>
      <w:r w:rsidR="00750066" w:rsidRPr="0086466C">
        <w:rPr>
          <w:rFonts w:ascii="Arial" w:hAnsi="Arial" w:cs="Arial"/>
          <w:b/>
          <w:bCs/>
        </w:rPr>
        <w:t>v pozicích mimo GPN</w:t>
      </w:r>
      <w:r w:rsidR="00750066" w:rsidRPr="0086466C">
        <w:rPr>
          <w:rFonts w:ascii="Arial" w:hAnsi="Arial" w:cs="Arial"/>
        </w:rPr>
        <w:t>. Na Domažlicku je mezi domácími podniky pouze 1 dodavatel 3. řádu</w:t>
      </w:r>
      <w:r w:rsidR="0022448E" w:rsidRPr="0086466C">
        <w:rPr>
          <w:rFonts w:ascii="Arial" w:hAnsi="Arial" w:cs="Arial"/>
        </w:rPr>
        <w:t>, stejně tak na Plzni – s</w:t>
      </w:r>
      <w:r w:rsidR="0044352C" w:rsidRPr="0086466C">
        <w:rPr>
          <w:rFonts w:ascii="Arial" w:hAnsi="Arial" w:cs="Arial"/>
        </w:rPr>
        <w:t>e</w:t>
      </w:r>
      <w:r w:rsidR="0022448E" w:rsidRPr="0086466C">
        <w:rPr>
          <w:rFonts w:ascii="Arial" w:hAnsi="Arial" w:cs="Arial"/>
        </w:rPr>
        <w:t xml:space="preserve">veru. Na Klatovsku najdeme mezi domácími firmami </w:t>
      </w:r>
      <w:r w:rsidR="0044352C" w:rsidRPr="0086466C">
        <w:rPr>
          <w:rFonts w:ascii="Arial" w:hAnsi="Arial" w:cs="Arial"/>
        </w:rPr>
        <w:t xml:space="preserve">2 </w:t>
      </w:r>
      <w:r w:rsidR="0022448E" w:rsidRPr="0086466C">
        <w:rPr>
          <w:rFonts w:ascii="Arial" w:hAnsi="Arial" w:cs="Arial"/>
        </w:rPr>
        <w:t>dodavatele 3. řádu</w:t>
      </w:r>
      <w:r w:rsidR="00E23545" w:rsidRPr="0086466C">
        <w:rPr>
          <w:rFonts w:ascii="Arial" w:hAnsi="Arial" w:cs="Arial"/>
        </w:rPr>
        <w:t>, ostatní podniky stojí mimo GPN</w:t>
      </w:r>
      <w:r w:rsidR="0022448E" w:rsidRPr="0086466C">
        <w:rPr>
          <w:rFonts w:ascii="Arial" w:hAnsi="Arial" w:cs="Arial"/>
        </w:rPr>
        <w:t xml:space="preserve">. </w:t>
      </w:r>
    </w:p>
    <w:p w14:paraId="3BA55A95" w14:textId="77777777" w:rsidR="00F80238" w:rsidRPr="0086466C" w:rsidRDefault="00F80238" w:rsidP="009A4619">
      <w:pPr>
        <w:spacing w:before="240"/>
        <w:jc w:val="both"/>
        <w:rPr>
          <w:rFonts w:ascii="Arial" w:hAnsi="Arial" w:cs="Arial"/>
        </w:rPr>
      </w:pPr>
    </w:p>
    <w:p w14:paraId="19F50350" w14:textId="77777777" w:rsidR="00C23549" w:rsidRPr="0086466C" w:rsidRDefault="00170BBF" w:rsidP="005B33D3">
      <w:pPr>
        <w:spacing w:before="240"/>
        <w:rPr>
          <w:rFonts w:ascii="Arial" w:hAnsi="Arial" w:cs="Arial"/>
        </w:rPr>
      </w:pPr>
      <w:r w:rsidRPr="0086466C">
        <w:rPr>
          <w:noProof/>
        </w:rPr>
        <w:lastRenderedPageBreak/>
        <w:drawing>
          <wp:inline distT="0" distB="0" distL="0" distR="0" wp14:anchorId="3C73FD97" wp14:editId="3AB115FE">
            <wp:extent cx="5878195" cy="3346101"/>
            <wp:effectExtent l="0" t="0" r="8255" b="6985"/>
            <wp:docPr id="469715001" name="Graf 1">
              <a:extLst xmlns:a="http://schemas.openxmlformats.org/drawingml/2006/main">
                <a:ext uri="{FF2B5EF4-FFF2-40B4-BE49-F238E27FC236}">
                  <a16:creationId xmlns:a16="http://schemas.microsoft.com/office/drawing/2014/main" id="{04E69A9E-853B-4573-AB72-71B6513D6FE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14:paraId="74C07421" w14:textId="596ADC68" w:rsidR="00BE0970" w:rsidRPr="0086466C" w:rsidRDefault="00332E86" w:rsidP="00E65054">
      <w:pPr>
        <w:spacing w:before="120" w:after="0"/>
        <w:jc w:val="both"/>
        <w:rPr>
          <w:rFonts w:ascii="Arial" w:hAnsi="Arial" w:cs="Arial"/>
        </w:rPr>
      </w:pPr>
      <w:r w:rsidRPr="0086466C">
        <w:rPr>
          <w:rFonts w:ascii="Arial" w:hAnsi="Arial" w:cs="Arial"/>
        </w:rPr>
        <w:t xml:space="preserve">Jiný pohled na strukturu ekonomických subjektů dle postavení v GPN a </w:t>
      </w:r>
      <w:r w:rsidR="00644A2E" w:rsidRPr="0086466C">
        <w:rPr>
          <w:rFonts w:ascii="Arial" w:hAnsi="Arial" w:cs="Arial"/>
        </w:rPr>
        <w:t xml:space="preserve">sídla přináší graf 24. Zde je dobře patrná </w:t>
      </w:r>
      <w:r w:rsidR="00644A2E" w:rsidRPr="0086466C">
        <w:rPr>
          <w:rFonts w:ascii="Arial" w:hAnsi="Arial" w:cs="Arial"/>
          <w:b/>
          <w:bCs/>
        </w:rPr>
        <w:t xml:space="preserve">absence vedoucích firem </w:t>
      </w:r>
      <w:r w:rsidR="006C05E0" w:rsidRPr="0086466C">
        <w:rPr>
          <w:rFonts w:ascii="Arial" w:hAnsi="Arial" w:cs="Arial"/>
          <w:b/>
          <w:bCs/>
        </w:rPr>
        <w:t>ve všech okresech kromě Plzně – města</w:t>
      </w:r>
      <w:r w:rsidR="006C05E0" w:rsidRPr="0086466C">
        <w:rPr>
          <w:rFonts w:ascii="Arial" w:hAnsi="Arial" w:cs="Arial"/>
        </w:rPr>
        <w:t>. Stejně tak i p</w:t>
      </w:r>
      <w:r w:rsidR="008843EF" w:rsidRPr="0086466C">
        <w:rPr>
          <w:rFonts w:ascii="Arial" w:hAnsi="Arial" w:cs="Arial"/>
        </w:rPr>
        <w:t xml:space="preserve">oměrně velká </w:t>
      </w:r>
      <w:r w:rsidR="008843EF" w:rsidRPr="0086466C">
        <w:rPr>
          <w:rFonts w:ascii="Arial" w:hAnsi="Arial" w:cs="Arial"/>
          <w:b/>
          <w:bCs/>
        </w:rPr>
        <w:t>nerovnováha v lokalizaci poboček zahraničních integrátorů</w:t>
      </w:r>
      <w:r w:rsidR="008843EF" w:rsidRPr="0086466C">
        <w:rPr>
          <w:rFonts w:ascii="Arial" w:hAnsi="Arial" w:cs="Arial"/>
        </w:rPr>
        <w:t xml:space="preserve">, </w:t>
      </w:r>
      <w:r w:rsidR="003E5864" w:rsidRPr="0086466C">
        <w:rPr>
          <w:rFonts w:ascii="Arial" w:hAnsi="Arial" w:cs="Arial"/>
        </w:rPr>
        <w:t xml:space="preserve">z nichž třetina také sídlí v okresu Plzeň – město. </w:t>
      </w:r>
      <w:r w:rsidR="00AB4271" w:rsidRPr="0086466C">
        <w:rPr>
          <w:rFonts w:ascii="Arial" w:hAnsi="Arial" w:cs="Arial"/>
        </w:rPr>
        <w:t xml:space="preserve">Navíc </w:t>
      </w:r>
      <w:r w:rsidR="00AB4271" w:rsidRPr="0086466C">
        <w:rPr>
          <w:rFonts w:ascii="Arial" w:hAnsi="Arial" w:cs="Arial"/>
          <w:b/>
          <w:bCs/>
        </w:rPr>
        <w:t>v</w:t>
      </w:r>
      <w:r w:rsidR="003E5864" w:rsidRPr="0086466C">
        <w:rPr>
          <w:rFonts w:ascii="Arial" w:hAnsi="Arial" w:cs="Arial"/>
          <w:b/>
          <w:bCs/>
        </w:rPr>
        <w:t xml:space="preserve"> okrese Plzeň – jih </w:t>
      </w:r>
      <w:r w:rsidR="00AB4271" w:rsidRPr="0086466C">
        <w:rPr>
          <w:rFonts w:ascii="Arial" w:hAnsi="Arial" w:cs="Arial"/>
          <w:b/>
          <w:bCs/>
        </w:rPr>
        <w:t xml:space="preserve">ani </w:t>
      </w:r>
      <w:r w:rsidR="003E5864" w:rsidRPr="0086466C">
        <w:rPr>
          <w:rFonts w:ascii="Arial" w:hAnsi="Arial" w:cs="Arial"/>
          <w:b/>
          <w:bCs/>
        </w:rPr>
        <w:t xml:space="preserve">žádný vedoucí integrátor </w:t>
      </w:r>
      <w:r w:rsidR="00AB4271" w:rsidRPr="0086466C">
        <w:rPr>
          <w:rFonts w:ascii="Arial" w:hAnsi="Arial" w:cs="Arial"/>
          <w:b/>
          <w:bCs/>
        </w:rPr>
        <w:t>nesídlí</w:t>
      </w:r>
      <w:r w:rsidR="00AB4271" w:rsidRPr="0086466C">
        <w:rPr>
          <w:rFonts w:ascii="Arial" w:hAnsi="Arial" w:cs="Arial"/>
        </w:rPr>
        <w:t xml:space="preserve"> a na Rokycansku a Domažlicku jsou pouze 2. </w:t>
      </w:r>
    </w:p>
    <w:p w14:paraId="696B3E43" w14:textId="13F7310A" w:rsidR="00AB4271" w:rsidRPr="0086466C" w:rsidRDefault="00B74EEA" w:rsidP="00E65054">
      <w:pPr>
        <w:spacing w:before="120" w:after="0"/>
        <w:jc w:val="both"/>
        <w:rPr>
          <w:rFonts w:ascii="Arial" w:hAnsi="Arial" w:cs="Arial"/>
        </w:rPr>
      </w:pPr>
      <w:r w:rsidRPr="0086466C">
        <w:rPr>
          <w:rFonts w:ascii="Arial" w:hAnsi="Arial" w:cs="Arial"/>
        </w:rPr>
        <w:t xml:space="preserve">U </w:t>
      </w:r>
      <w:r w:rsidRPr="0086466C">
        <w:rPr>
          <w:rFonts w:ascii="Arial" w:hAnsi="Arial" w:cs="Arial"/>
          <w:b/>
          <w:bCs/>
        </w:rPr>
        <w:t>dodavatelů 1. řádu</w:t>
      </w:r>
      <w:r w:rsidRPr="0086466C">
        <w:rPr>
          <w:rFonts w:ascii="Arial" w:hAnsi="Arial" w:cs="Arial"/>
        </w:rPr>
        <w:t xml:space="preserve"> je zajímavá jejich </w:t>
      </w:r>
      <w:r w:rsidRPr="0086466C">
        <w:rPr>
          <w:rFonts w:ascii="Arial" w:hAnsi="Arial" w:cs="Arial"/>
          <w:b/>
          <w:bCs/>
        </w:rPr>
        <w:t>absence ve 3 okresech: Rokycany, Klatovy a Domažlice</w:t>
      </w:r>
      <w:r w:rsidR="00766498" w:rsidRPr="0086466C">
        <w:rPr>
          <w:rFonts w:ascii="Arial" w:hAnsi="Arial" w:cs="Arial"/>
        </w:rPr>
        <w:t xml:space="preserve"> a velmi nízké počty zejm. na Tachovsku a v okresech Plzeň – jih i Plzeň – sever. </w:t>
      </w:r>
      <w:r w:rsidR="002F57EB" w:rsidRPr="0086466C">
        <w:rPr>
          <w:rFonts w:ascii="Arial" w:hAnsi="Arial" w:cs="Arial"/>
          <w:b/>
          <w:bCs/>
        </w:rPr>
        <w:t>Dodavatelé nižších řádů</w:t>
      </w:r>
      <w:r w:rsidR="002F57EB" w:rsidRPr="0086466C">
        <w:rPr>
          <w:rFonts w:ascii="Arial" w:hAnsi="Arial" w:cs="Arial"/>
        </w:rPr>
        <w:t xml:space="preserve"> jsou pak nejpočetnější </w:t>
      </w:r>
      <w:r w:rsidR="004F40D8" w:rsidRPr="0086466C">
        <w:rPr>
          <w:rFonts w:ascii="Arial" w:hAnsi="Arial" w:cs="Arial"/>
        </w:rPr>
        <w:t xml:space="preserve">kromě okresu Plzeň – město </w:t>
      </w:r>
      <w:r w:rsidR="004F40D8" w:rsidRPr="0086466C">
        <w:rPr>
          <w:rFonts w:ascii="Arial" w:hAnsi="Arial" w:cs="Arial"/>
          <w:b/>
          <w:bCs/>
        </w:rPr>
        <w:t>na Tachovsku</w:t>
      </w:r>
      <w:r w:rsidR="004F40D8" w:rsidRPr="0086466C">
        <w:rPr>
          <w:rFonts w:ascii="Arial" w:hAnsi="Arial" w:cs="Arial"/>
        </w:rPr>
        <w:t xml:space="preserve">, hlavně pak </w:t>
      </w:r>
      <w:r w:rsidR="004F40D8" w:rsidRPr="0086466C">
        <w:rPr>
          <w:rFonts w:ascii="Arial" w:hAnsi="Arial" w:cs="Arial"/>
          <w:b/>
          <w:bCs/>
        </w:rPr>
        <w:t>dodavatelé 3. řádu, kteří zde mají nejsilnější zastoupení</w:t>
      </w:r>
      <w:r w:rsidR="004F40D8" w:rsidRPr="0086466C">
        <w:rPr>
          <w:rFonts w:ascii="Arial" w:hAnsi="Arial" w:cs="Arial"/>
        </w:rPr>
        <w:t>.</w:t>
      </w:r>
    </w:p>
    <w:p w14:paraId="46198354" w14:textId="78158358" w:rsidR="00676400" w:rsidRPr="0086466C" w:rsidRDefault="00676400" w:rsidP="00E65054">
      <w:pPr>
        <w:spacing w:before="120" w:after="0"/>
        <w:jc w:val="both"/>
        <w:rPr>
          <w:rFonts w:ascii="Arial" w:hAnsi="Arial" w:cs="Arial"/>
        </w:rPr>
      </w:pPr>
      <w:r w:rsidRPr="0086466C">
        <w:rPr>
          <w:rFonts w:ascii="Arial" w:hAnsi="Arial" w:cs="Arial"/>
        </w:rPr>
        <w:t xml:space="preserve">U </w:t>
      </w:r>
      <w:r w:rsidRPr="0086466C">
        <w:rPr>
          <w:rFonts w:ascii="Arial" w:hAnsi="Arial" w:cs="Arial"/>
          <w:b/>
          <w:bCs/>
        </w:rPr>
        <w:t>subjektů mimo GPN</w:t>
      </w:r>
      <w:r w:rsidR="007013B8" w:rsidRPr="0086466C">
        <w:rPr>
          <w:rFonts w:ascii="Arial" w:hAnsi="Arial" w:cs="Arial"/>
          <w:b/>
          <w:bCs/>
        </w:rPr>
        <w:t xml:space="preserve"> s přístupem na koncový trh</w:t>
      </w:r>
      <w:r w:rsidRPr="0086466C">
        <w:rPr>
          <w:rFonts w:ascii="Arial" w:hAnsi="Arial" w:cs="Arial"/>
          <w:b/>
          <w:bCs/>
        </w:rPr>
        <w:t xml:space="preserve"> </w:t>
      </w:r>
      <w:r w:rsidR="007013B8" w:rsidRPr="0086466C">
        <w:rPr>
          <w:rFonts w:ascii="Arial" w:hAnsi="Arial" w:cs="Arial"/>
        </w:rPr>
        <w:t xml:space="preserve">je zajímavé rozložení mezi okresy s mírnou </w:t>
      </w:r>
      <w:r w:rsidR="007013B8" w:rsidRPr="0086466C">
        <w:rPr>
          <w:rFonts w:ascii="Arial" w:hAnsi="Arial" w:cs="Arial"/>
          <w:b/>
          <w:bCs/>
        </w:rPr>
        <w:t>převahou v okresech Rokycany a Domažlice</w:t>
      </w:r>
      <w:r w:rsidR="007013B8" w:rsidRPr="0086466C">
        <w:rPr>
          <w:rFonts w:ascii="Arial" w:hAnsi="Arial" w:cs="Arial"/>
        </w:rPr>
        <w:t xml:space="preserve"> (kromě Plzně – města)</w:t>
      </w:r>
      <w:r w:rsidR="001D2301" w:rsidRPr="0086466C">
        <w:rPr>
          <w:rFonts w:ascii="Arial" w:hAnsi="Arial" w:cs="Arial"/>
        </w:rPr>
        <w:t xml:space="preserve">. Nejmenší zastoupení mají na Tachovsku. Co se týká </w:t>
      </w:r>
      <w:r w:rsidR="001D2301" w:rsidRPr="0086466C">
        <w:rPr>
          <w:rFonts w:ascii="Arial" w:hAnsi="Arial" w:cs="Arial"/>
          <w:b/>
          <w:bCs/>
        </w:rPr>
        <w:t>subjektů mimo GPN bez přístupu na koncový trh</w:t>
      </w:r>
      <w:r w:rsidR="001D2301" w:rsidRPr="0086466C">
        <w:rPr>
          <w:rFonts w:ascii="Arial" w:hAnsi="Arial" w:cs="Arial"/>
        </w:rPr>
        <w:t xml:space="preserve">, tak jsou </w:t>
      </w:r>
      <w:r w:rsidR="001D2301" w:rsidRPr="0086466C">
        <w:rPr>
          <w:rFonts w:ascii="Arial" w:hAnsi="Arial" w:cs="Arial"/>
          <w:b/>
          <w:bCs/>
        </w:rPr>
        <w:t xml:space="preserve">kromě Rokycanska </w:t>
      </w:r>
      <w:proofErr w:type="gramStart"/>
      <w:r w:rsidR="001D2301" w:rsidRPr="0086466C">
        <w:rPr>
          <w:rFonts w:ascii="Arial" w:hAnsi="Arial" w:cs="Arial"/>
          <w:b/>
          <w:bCs/>
        </w:rPr>
        <w:t>zastoupeny</w:t>
      </w:r>
      <w:proofErr w:type="gramEnd"/>
      <w:r w:rsidR="001D2301" w:rsidRPr="0086466C">
        <w:rPr>
          <w:rFonts w:ascii="Arial" w:hAnsi="Arial" w:cs="Arial"/>
          <w:b/>
          <w:bCs/>
        </w:rPr>
        <w:t xml:space="preserve"> ve všech okresech</w:t>
      </w:r>
      <w:r w:rsidR="001D2301" w:rsidRPr="0086466C">
        <w:rPr>
          <w:rFonts w:ascii="Arial" w:hAnsi="Arial" w:cs="Arial"/>
        </w:rPr>
        <w:t xml:space="preserve"> celkem rovnoměrně</w:t>
      </w:r>
      <w:r w:rsidR="00E65054" w:rsidRPr="0086466C">
        <w:rPr>
          <w:rFonts w:ascii="Arial" w:hAnsi="Arial" w:cs="Arial"/>
        </w:rPr>
        <w:t>.</w:t>
      </w:r>
    </w:p>
    <w:p w14:paraId="39D103E3" w14:textId="428E0676" w:rsidR="004924F8" w:rsidRPr="0086466C" w:rsidRDefault="00BE0970" w:rsidP="005B33D3">
      <w:pPr>
        <w:spacing w:before="240"/>
        <w:rPr>
          <w:rFonts w:ascii="Arial" w:hAnsi="Arial" w:cs="Arial"/>
        </w:rPr>
      </w:pPr>
      <w:r w:rsidRPr="0086466C">
        <w:rPr>
          <w:noProof/>
        </w:rPr>
        <w:drawing>
          <wp:inline distT="0" distB="0" distL="0" distR="0" wp14:anchorId="02010971" wp14:editId="633E09F7">
            <wp:extent cx="5787850" cy="2854960"/>
            <wp:effectExtent l="0" t="0" r="3810" b="2540"/>
            <wp:docPr id="203065683" name="Graf 1">
              <a:extLst xmlns:a="http://schemas.openxmlformats.org/drawingml/2006/main">
                <a:ext uri="{FF2B5EF4-FFF2-40B4-BE49-F238E27FC236}">
                  <a16:creationId xmlns:a16="http://schemas.microsoft.com/office/drawing/2014/main" id="{2C76C8A7-D665-48D4-8D8F-025C51BBE1B2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  <w:r w:rsidR="004924F8" w:rsidRPr="0086466C">
        <w:rPr>
          <w:rFonts w:ascii="Arial" w:hAnsi="Arial" w:cs="Arial"/>
        </w:rPr>
        <w:br w:type="page"/>
      </w:r>
    </w:p>
    <w:p w14:paraId="1F2AB192" w14:textId="22CF8971" w:rsidR="006A0318" w:rsidRPr="0086466C" w:rsidRDefault="006A0318" w:rsidP="00365237">
      <w:pPr>
        <w:pStyle w:val="Nadpis1"/>
        <w:numPr>
          <w:ilvl w:val="0"/>
          <w:numId w:val="27"/>
        </w:numPr>
        <w:spacing w:before="120" w:after="0"/>
        <w:rPr>
          <w:rFonts w:ascii="Arial" w:hAnsi="Arial" w:cs="Arial"/>
          <w:b/>
          <w:bCs/>
          <w:color w:val="auto"/>
          <w:sz w:val="26"/>
          <w:szCs w:val="26"/>
        </w:rPr>
      </w:pPr>
      <w:bookmarkStart w:id="5" w:name="_Toc184799882"/>
      <w:r w:rsidRPr="0086466C">
        <w:rPr>
          <w:rFonts w:ascii="Arial" w:hAnsi="Arial" w:cs="Arial"/>
          <w:b/>
          <w:bCs/>
          <w:color w:val="auto"/>
          <w:sz w:val="26"/>
          <w:szCs w:val="26"/>
        </w:rPr>
        <w:lastRenderedPageBreak/>
        <w:t xml:space="preserve">Ekonomická charakteristika </w:t>
      </w:r>
      <w:r w:rsidR="00FE18E9" w:rsidRPr="0086466C">
        <w:rPr>
          <w:rFonts w:ascii="Arial" w:hAnsi="Arial" w:cs="Arial"/>
          <w:b/>
          <w:bCs/>
          <w:color w:val="auto"/>
          <w:sz w:val="26"/>
          <w:szCs w:val="26"/>
        </w:rPr>
        <w:t>globálních produkčních sítí</w:t>
      </w:r>
      <w:r w:rsidRPr="0086466C">
        <w:rPr>
          <w:rFonts w:ascii="Arial" w:hAnsi="Arial" w:cs="Arial"/>
          <w:b/>
          <w:bCs/>
          <w:color w:val="auto"/>
          <w:sz w:val="26"/>
          <w:szCs w:val="26"/>
        </w:rPr>
        <w:t xml:space="preserve"> v Plzeňském kraji</w:t>
      </w:r>
      <w:bookmarkEnd w:id="5"/>
    </w:p>
    <w:p w14:paraId="61585792" w14:textId="406FA906" w:rsidR="005E543A" w:rsidRPr="0086466C" w:rsidRDefault="00490973" w:rsidP="00365237">
      <w:pPr>
        <w:pStyle w:val="Nadpis3"/>
        <w:numPr>
          <w:ilvl w:val="1"/>
          <w:numId w:val="27"/>
        </w:numPr>
        <w:ind w:left="426"/>
        <w:rPr>
          <w:rFonts w:ascii="Arial" w:hAnsi="Arial" w:cs="Arial"/>
          <w:b/>
          <w:bCs/>
          <w:color w:val="auto"/>
          <w:sz w:val="24"/>
          <w:szCs w:val="24"/>
        </w:rPr>
      </w:pPr>
      <w:bookmarkStart w:id="6" w:name="_Toc184799883"/>
      <w:r w:rsidRPr="0086466C">
        <w:rPr>
          <w:rFonts w:ascii="Arial" w:hAnsi="Arial" w:cs="Arial"/>
          <w:b/>
          <w:bCs/>
          <w:color w:val="auto"/>
          <w:sz w:val="24"/>
          <w:szCs w:val="24"/>
        </w:rPr>
        <w:t xml:space="preserve">Hodnocení </w:t>
      </w:r>
      <w:r w:rsidR="00526089" w:rsidRPr="0086466C">
        <w:rPr>
          <w:rFonts w:ascii="Arial" w:hAnsi="Arial" w:cs="Arial"/>
          <w:b/>
          <w:bCs/>
          <w:color w:val="auto"/>
          <w:sz w:val="24"/>
          <w:szCs w:val="24"/>
        </w:rPr>
        <w:t>globálních produkčních sítí</w:t>
      </w:r>
      <w:r w:rsidRPr="0086466C">
        <w:rPr>
          <w:rFonts w:ascii="Arial" w:hAnsi="Arial" w:cs="Arial"/>
          <w:b/>
          <w:bCs/>
          <w:color w:val="auto"/>
          <w:sz w:val="24"/>
          <w:szCs w:val="24"/>
        </w:rPr>
        <w:t xml:space="preserve"> podle kvantitativních eko</w:t>
      </w:r>
      <w:r w:rsidR="00916389" w:rsidRPr="0086466C">
        <w:rPr>
          <w:rFonts w:ascii="Arial" w:hAnsi="Arial" w:cs="Arial"/>
          <w:b/>
          <w:bCs/>
          <w:color w:val="auto"/>
          <w:sz w:val="24"/>
          <w:szCs w:val="24"/>
        </w:rPr>
        <w:t>nomických charakteristik</w:t>
      </w:r>
      <w:bookmarkEnd w:id="6"/>
    </w:p>
    <w:p w14:paraId="054F0E56" w14:textId="6293F8AC" w:rsidR="0011603C" w:rsidRPr="0086466C" w:rsidRDefault="0011603C" w:rsidP="00E15B1E">
      <w:pPr>
        <w:spacing w:before="120" w:after="0"/>
        <w:jc w:val="both"/>
        <w:rPr>
          <w:rFonts w:ascii="Arial" w:hAnsi="Arial" w:cs="Arial"/>
        </w:rPr>
      </w:pPr>
      <w:r w:rsidRPr="0086466C">
        <w:rPr>
          <w:rFonts w:ascii="Arial" w:hAnsi="Arial" w:cs="Arial"/>
        </w:rPr>
        <w:t xml:space="preserve">Hodnocení vybraných subjektů v Plzeňském kraji z hlediska jejich ekonomické charakteristiky </w:t>
      </w:r>
      <w:r w:rsidR="0093719D" w:rsidRPr="0086466C">
        <w:rPr>
          <w:rFonts w:ascii="Arial" w:hAnsi="Arial" w:cs="Arial"/>
        </w:rPr>
        <w:t xml:space="preserve">v kontextu zapojení do globálních produkčních sítí </w:t>
      </w:r>
      <w:r w:rsidR="00B755E9" w:rsidRPr="0086466C">
        <w:rPr>
          <w:rFonts w:ascii="Arial" w:hAnsi="Arial" w:cs="Arial"/>
        </w:rPr>
        <w:t>vychází především z metodiky prof. Blažka</w:t>
      </w:r>
      <w:r w:rsidR="000E4F5B" w:rsidRPr="0086466C">
        <w:rPr>
          <w:rFonts w:ascii="Arial" w:hAnsi="Arial" w:cs="Arial"/>
        </w:rPr>
        <w:t xml:space="preserve"> (Holická, Blažek, 2023). </w:t>
      </w:r>
      <w:r w:rsidR="0093719D" w:rsidRPr="0086466C">
        <w:rPr>
          <w:rFonts w:ascii="Arial" w:hAnsi="Arial" w:cs="Arial"/>
        </w:rPr>
        <w:t>Základem této metodiky j</w:t>
      </w:r>
      <w:r w:rsidR="008F6B40" w:rsidRPr="0086466C">
        <w:rPr>
          <w:rFonts w:ascii="Arial" w:hAnsi="Arial" w:cs="Arial"/>
        </w:rPr>
        <w:t>e určení tzv. hodnoty vytvořené a hodnoty udržené</w:t>
      </w:r>
      <w:r w:rsidR="00771D98" w:rsidRPr="0086466C">
        <w:rPr>
          <w:rFonts w:ascii="Arial" w:hAnsi="Arial" w:cs="Arial"/>
        </w:rPr>
        <w:t>, se kterými je pracováno jako s klíčovými charakteristikami firem</w:t>
      </w:r>
      <w:r w:rsidR="008D6BEB" w:rsidRPr="0086466C">
        <w:rPr>
          <w:rFonts w:ascii="Arial" w:hAnsi="Arial" w:cs="Arial"/>
        </w:rPr>
        <w:t xml:space="preserve"> </w:t>
      </w:r>
      <w:r w:rsidR="009260AC" w:rsidRPr="0086466C">
        <w:rPr>
          <w:rFonts w:ascii="Arial" w:hAnsi="Arial" w:cs="Arial"/>
        </w:rPr>
        <w:t>a jejich významu pro daný region i postavení v GPN</w:t>
      </w:r>
      <w:r w:rsidR="008F6B40" w:rsidRPr="0086466C">
        <w:rPr>
          <w:rFonts w:ascii="Arial" w:hAnsi="Arial" w:cs="Arial"/>
        </w:rPr>
        <w:t xml:space="preserve">. </w:t>
      </w:r>
    </w:p>
    <w:p w14:paraId="6ECFBAEC" w14:textId="77777777" w:rsidR="00503594" w:rsidRPr="0086466C" w:rsidRDefault="00503594" w:rsidP="00503594">
      <w:pPr>
        <w:spacing w:before="120" w:after="0"/>
        <w:jc w:val="both"/>
        <w:rPr>
          <w:rFonts w:ascii="Arial" w:hAnsi="Arial" w:cs="Arial"/>
        </w:rPr>
      </w:pPr>
      <w:r w:rsidRPr="0086466C">
        <w:rPr>
          <w:rFonts w:ascii="Arial" w:hAnsi="Arial" w:cs="Arial"/>
        </w:rPr>
        <w:t xml:space="preserve">Rozdíl mezi </w:t>
      </w:r>
      <w:r w:rsidRPr="0086466C">
        <w:rPr>
          <w:rFonts w:ascii="Arial" w:hAnsi="Arial" w:cs="Arial"/>
          <w:b/>
          <w:bCs/>
        </w:rPr>
        <w:t>hodnotou vytvořenou</w:t>
      </w:r>
      <w:r w:rsidRPr="0086466C">
        <w:rPr>
          <w:rFonts w:ascii="Arial" w:hAnsi="Arial" w:cs="Arial"/>
        </w:rPr>
        <w:t xml:space="preserve"> a </w:t>
      </w:r>
      <w:r w:rsidRPr="0086466C">
        <w:rPr>
          <w:rFonts w:ascii="Arial" w:hAnsi="Arial" w:cs="Arial"/>
          <w:b/>
          <w:bCs/>
        </w:rPr>
        <w:t>hodnotou udrženou</w:t>
      </w:r>
      <w:r w:rsidRPr="0086466C">
        <w:rPr>
          <w:rFonts w:ascii="Arial" w:hAnsi="Arial" w:cs="Arial"/>
        </w:rPr>
        <w:t xml:space="preserve"> se používá v kontextu hodnotových řetězců, ekonomického rozvoje a geografického rozložení ekonomických aktivit. Tyto pojmy popisují, jak a kde je hodnota generována a kde je zachycena, což má dopad na ekonomický růst regionů nebo zemí.</w:t>
      </w:r>
    </w:p>
    <w:p w14:paraId="4CD35DBF" w14:textId="41BAB4DB" w:rsidR="00503594" w:rsidRPr="0086466C" w:rsidRDefault="00503594" w:rsidP="00503594">
      <w:pPr>
        <w:spacing w:before="120" w:after="0"/>
        <w:jc w:val="both"/>
        <w:rPr>
          <w:rFonts w:ascii="Arial" w:hAnsi="Arial" w:cs="Arial"/>
        </w:rPr>
      </w:pPr>
      <w:r w:rsidRPr="0086466C">
        <w:rPr>
          <w:rFonts w:ascii="Arial" w:hAnsi="Arial" w:cs="Arial"/>
          <w:b/>
          <w:bCs/>
        </w:rPr>
        <w:t>Hodnota vytvořená</w:t>
      </w:r>
      <w:r w:rsidRPr="0086466C">
        <w:rPr>
          <w:rFonts w:ascii="Arial" w:hAnsi="Arial" w:cs="Arial"/>
        </w:rPr>
        <w:t xml:space="preserve"> odkazuje na celkovou hodnotu, která </w:t>
      </w:r>
      <w:r w:rsidR="00D13339" w:rsidRPr="0086466C">
        <w:rPr>
          <w:rFonts w:ascii="Arial" w:hAnsi="Arial" w:cs="Arial"/>
        </w:rPr>
        <w:t>vzniká během výrobního procesu, bez ohledu na to, kde a komu tato hodnota nakonec připadne</w:t>
      </w:r>
      <w:r w:rsidRPr="0086466C">
        <w:rPr>
          <w:rFonts w:ascii="Arial" w:hAnsi="Arial" w:cs="Arial"/>
        </w:rPr>
        <w:t>. Jde o výsledky práce, technologií, inovací a dalších aktivit přispívajících k výrobě.</w:t>
      </w:r>
      <w:r w:rsidR="00D13339" w:rsidRPr="0086466C">
        <w:rPr>
          <w:rFonts w:ascii="Arial" w:hAnsi="Arial" w:cs="Arial"/>
        </w:rPr>
        <w:t xml:space="preserve"> Podle metodiky sestavené prof. Blažkem </w:t>
      </w:r>
      <w:r w:rsidR="002C09DB" w:rsidRPr="0086466C">
        <w:rPr>
          <w:rFonts w:ascii="Arial" w:hAnsi="Arial" w:cs="Arial"/>
        </w:rPr>
        <w:t>lze hodnotu vytvořenou stanovit pomocí součtu následujících ekonomických ukazatelů:</w:t>
      </w:r>
    </w:p>
    <w:p w14:paraId="1F25DEED" w14:textId="513AA884" w:rsidR="002C09DB" w:rsidRPr="0086466C" w:rsidRDefault="002C09DB" w:rsidP="002C09DB">
      <w:pPr>
        <w:pStyle w:val="Odstavecseseznamem"/>
        <w:numPr>
          <w:ilvl w:val="0"/>
          <w:numId w:val="1"/>
        </w:numPr>
        <w:spacing w:before="120" w:after="0"/>
        <w:jc w:val="both"/>
        <w:rPr>
          <w:rFonts w:ascii="Arial" w:hAnsi="Arial" w:cs="Arial"/>
        </w:rPr>
      </w:pPr>
      <w:r w:rsidRPr="0086466C">
        <w:rPr>
          <w:rFonts w:ascii="Arial" w:hAnsi="Arial" w:cs="Arial"/>
          <w:b/>
          <w:bCs/>
        </w:rPr>
        <w:t>Obrat firmy</w:t>
      </w:r>
      <w:r w:rsidRPr="0086466C">
        <w:rPr>
          <w:rFonts w:ascii="Arial" w:hAnsi="Arial" w:cs="Arial"/>
        </w:rPr>
        <w:t xml:space="preserve"> (reflektuje </w:t>
      </w:r>
      <w:r w:rsidR="00BB6021" w:rsidRPr="0086466C">
        <w:rPr>
          <w:rFonts w:ascii="Arial" w:hAnsi="Arial" w:cs="Arial"/>
        </w:rPr>
        <w:t>dynamiku a prosperitu společnosti)</w:t>
      </w:r>
    </w:p>
    <w:p w14:paraId="3C29B519" w14:textId="0332C745" w:rsidR="00BB6021" w:rsidRPr="0086466C" w:rsidRDefault="00BB6021" w:rsidP="002C09DB">
      <w:pPr>
        <w:pStyle w:val="Odstavecseseznamem"/>
        <w:numPr>
          <w:ilvl w:val="0"/>
          <w:numId w:val="1"/>
        </w:numPr>
        <w:spacing w:before="120" w:after="0"/>
        <w:jc w:val="both"/>
        <w:rPr>
          <w:rFonts w:ascii="Arial" w:hAnsi="Arial" w:cs="Arial"/>
        </w:rPr>
      </w:pPr>
      <w:r w:rsidRPr="0086466C">
        <w:rPr>
          <w:rFonts w:ascii="Arial" w:hAnsi="Arial" w:cs="Arial"/>
          <w:b/>
          <w:bCs/>
        </w:rPr>
        <w:t>Přidaná hodnota</w:t>
      </w:r>
      <w:r w:rsidRPr="0086466C">
        <w:rPr>
          <w:rFonts w:ascii="Arial" w:hAnsi="Arial" w:cs="Arial"/>
        </w:rPr>
        <w:t xml:space="preserve"> (</w:t>
      </w:r>
      <w:r w:rsidR="004C7ADC" w:rsidRPr="0086466C">
        <w:rPr>
          <w:rFonts w:ascii="Arial" w:hAnsi="Arial" w:cs="Arial"/>
        </w:rPr>
        <w:t>vypovídá o</w:t>
      </w:r>
      <w:r w:rsidRPr="0086466C">
        <w:rPr>
          <w:rFonts w:ascii="Arial" w:hAnsi="Arial" w:cs="Arial"/>
        </w:rPr>
        <w:t xml:space="preserve"> znalostní náročnost</w:t>
      </w:r>
      <w:r w:rsidR="004C7ADC" w:rsidRPr="0086466C">
        <w:rPr>
          <w:rFonts w:ascii="Arial" w:hAnsi="Arial" w:cs="Arial"/>
        </w:rPr>
        <w:t>i</w:t>
      </w:r>
      <w:r w:rsidRPr="0086466C">
        <w:rPr>
          <w:rFonts w:ascii="Arial" w:hAnsi="Arial" w:cs="Arial"/>
        </w:rPr>
        <w:t xml:space="preserve"> výroby)</w:t>
      </w:r>
    </w:p>
    <w:p w14:paraId="18386CB2" w14:textId="02E08FF2" w:rsidR="00BB6021" w:rsidRPr="0086466C" w:rsidRDefault="00BB6021" w:rsidP="002C09DB">
      <w:pPr>
        <w:pStyle w:val="Odstavecseseznamem"/>
        <w:numPr>
          <w:ilvl w:val="0"/>
          <w:numId w:val="1"/>
        </w:numPr>
        <w:spacing w:before="120" w:after="0"/>
        <w:jc w:val="both"/>
        <w:rPr>
          <w:rFonts w:ascii="Arial" w:hAnsi="Arial" w:cs="Arial"/>
        </w:rPr>
      </w:pPr>
      <w:r w:rsidRPr="0086466C">
        <w:rPr>
          <w:rFonts w:ascii="Arial" w:hAnsi="Arial" w:cs="Arial"/>
          <w:b/>
          <w:bCs/>
        </w:rPr>
        <w:t>Hospodářský výsledek</w:t>
      </w:r>
      <w:r w:rsidR="006814D9" w:rsidRPr="0086466C">
        <w:rPr>
          <w:rFonts w:ascii="Arial" w:hAnsi="Arial" w:cs="Arial"/>
        </w:rPr>
        <w:t xml:space="preserve"> (ukazuje zisk společnosti</w:t>
      </w:r>
      <w:r w:rsidR="007C4E82" w:rsidRPr="0086466C">
        <w:rPr>
          <w:rFonts w:ascii="Arial" w:hAnsi="Arial" w:cs="Arial"/>
        </w:rPr>
        <w:t xml:space="preserve"> před zdaněním, tzv. EBT</w:t>
      </w:r>
      <w:r w:rsidR="006814D9" w:rsidRPr="0086466C">
        <w:rPr>
          <w:rFonts w:ascii="Arial" w:hAnsi="Arial" w:cs="Arial"/>
        </w:rPr>
        <w:t>)</w:t>
      </w:r>
    </w:p>
    <w:p w14:paraId="75014630" w14:textId="469A7DE4" w:rsidR="00503594" w:rsidRPr="0086466C" w:rsidRDefault="00503594" w:rsidP="006814D9">
      <w:pPr>
        <w:spacing w:before="120" w:after="0"/>
        <w:jc w:val="both"/>
        <w:rPr>
          <w:rFonts w:ascii="Arial" w:hAnsi="Arial" w:cs="Arial"/>
        </w:rPr>
      </w:pPr>
      <w:r w:rsidRPr="0086466C">
        <w:rPr>
          <w:rFonts w:ascii="Arial" w:hAnsi="Arial" w:cs="Arial"/>
          <w:b/>
          <w:bCs/>
        </w:rPr>
        <w:t>Hodnota udržená</w:t>
      </w:r>
      <w:r w:rsidRPr="0086466C">
        <w:rPr>
          <w:rFonts w:ascii="Arial" w:hAnsi="Arial" w:cs="Arial"/>
        </w:rPr>
        <w:t xml:space="preserve"> označuje část hodnoty, která zůstane v konkrétní zemi nebo regionu po odečtení nákladů, jako jsou vstupy, platby subdodavatelům nebo odliv kapitálu (např. dividendy zahraničním vlastníkům).</w:t>
      </w:r>
      <w:r w:rsidR="0094462A" w:rsidRPr="0086466C">
        <w:rPr>
          <w:rFonts w:ascii="Arial" w:hAnsi="Arial" w:cs="Arial"/>
        </w:rPr>
        <w:t xml:space="preserve"> </w:t>
      </w:r>
      <w:r w:rsidR="007D65D3" w:rsidRPr="0086466C">
        <w:rPr>
          <w:rFonts w:ascii="Arial" w:hAnsi="Arial" w:cs="Arial"/>
        </w:rPr>
        <w:t>Označuje</w:t>
      </w:r>
      <w:r w:rsidR="004B699A" w:rsidRPr="0086466C">
        <w:rPr>
          <w:rFonts w:ascii="Arial" w:hAnsi="Arial" w:cs="Arial"/>
        </w:rPr>
        <w:t>,</w:t>
      </w:r>
      <w:r w:rsidR="0094462A" w:rsidRPr="0086466C">
        <w:rPr>
          <w:rFonts w:ascii="Arial" w:hAnsi="Arial" w:cs="Arial"/>
        </w:rPr>
        <w:t xml:space="preserve"> jaká část vytvořené hodnoty zůstává v</w:t>
      </w:r>
      <w:r w:rsidR="007D65D3" w:rsidRPr="0086466C">
        <w:rPr>
          <w:rFonts w:ascii="Arial" w:hAnsi="Arial" w:cs="Arial"/>
        </w:rPr>
        <w:t> </w:t>
      </w:r>
      <w:r w:rsidR="0094462A" w:rsidRPr="0086466C">
        <w:rPr>
          <w:rFonts w:ascii="Arial" w:hAnsi="Arial" w:cs="Arial"/>
        </w:rPr>
        <w:t>regionu</w:t>
      </w:r>
      <w:r w:rsidR="007D65D3" w:rsidRPr="0086466C">
        <w:rPr>
          <w:rFonts w:ascii="Arial" w:hAnsi="Arial" w:cs="Arial"/>
        </w:rPr>
        <w:t xml:space="preserve"> </w:t>
      </w:r>
      <w:r w:rsidR="0094462A" w:rsidRPr="0086466C">
        <w:rPr>
          <w:rFonts w:ascii="Arial" w:hAnsi="Arial" w:cs="Arial"/>
        </w:rPr>
        <w:t>a přímo přispívá k lokálnímu ekonomickému rozvoji.</w:t>
      </w:r>
      <w:r w:rsidR="007D65D3" w:rsidRPr="0086466C">
        <w:rPr>
          <w:rFonts w:ascii="Arial" w:hAnsi="Arial" w:cs="Arial"/>
        </w:rPr>
        <w:t xml:space="preserve"> Dle prof. Blažka </w:t>
      </w:r>
      <w:r w:rsidR="00515A92" w:rsidRPr="0086466C">
        <w:rPr>
          <w:rFonts w:ascii="Arial" w:hAnsi="Arial" w:cs="Arial"/>
        </w:rPr>
        <w:t>tuto hodnotu nejlépe reprezentují následující ukazatele:</w:t>
      </w:r>
    </w:p>
    <w:p w14:paraId="2BA31A28" w14:textId="5DD0574D" w:rsidR="00515A92" w:rsidRPr="0086466C" w:rsidRDefault="00517455" w:rsidP="00515A92">
      <w:pPr>
        <w:pStyle w:val="Odstavecseseznamem"/>
        <w:numPr>
          <w:ilvl w:val="0"/>
          <w:numId w:val="1"/>
        </w:numPr>
        <w:spacing w:before="120" w:after="0"/>
        <w:jc w:val="both"/>
        <w:rPr>
          <w:rFonts w:ascii="Arial" w:hAnsi="Arial" w:cs="Arial"/>
        </w:rPr>
      </w:pPr>
      <w:r w:rsidRPr="0086466C">
        <w:rPr>
          <w:rFonts w:ascii="Arial" w:hAnsi="Arial" w:cs="Arial"/>
          <w:b/>
          <w:bCs/>
        </w:rPr>
        <w:t xml:space="preserve">Personální náklady </w:t>
      </w:r>
      <w:r w:rsidRPr="0086466C">
        <w:rPr>
          <w:rFonts w:ascii="Arial" w:hAnsi="Arial" w:cs="Arial"/>
        </w:rPr>
        <w:t>(reflektují počet i kvalifikaci pracovní síly)</w:t>
      </w:r>
    </w:p>
    <w:p w14:paraId="7601A6C8" w14:textId="4B3F026A" w:rsidR="00517455" w:rsidRPr="0086466C" w:rsidRDefault="00517455" w:rsidP="00515A92">
      <w:pPr>
        <w:pStyle w:val="Odstavecseseznamem"/>
        <w:numPr>
          <w:ilvl w:val="0"/>
          <w:numId w:val="1"/>
        </w:numPr>
        <w:spacing w:before="120" w:after="0"/>
        <w:jc w:val="both"/>
        <w:rPr>
          <w:rFonts w:ascii="Arial" w:hAnsi="Arial" w:cs="Arial"/>
        </w:rPr>
      </w:pPr>
      <w:r w:rsidRPr="0086466C">
        <w:rPr>
          <w:rFonts w:ascii="Arial" w:hAnsi="Arial" w:cs="Arial"/>
          <w:b/>
          <w:bCs/>
        </w:rPr>
        <w:t xml:space="preserve">Daně z příjmu </w:t>
      </w:r>
      <w:r w:rsidRPr="0086466C">
        <w:rPr>
          <w:rFonts w:ascii="Arial" w:hAnsi="Arial" w:cs="Arial"/>
        </w:rPr>
        <w:t>(</w:t>
      </w:r>
      <w:r w:rsidR="006576FC" w:rsidRPr="0086466C">
        <w:rPr>
          <w:rFonts w:ascii="Arial" w:hAnsi="Arial" w:cs="Arial"/>
        </w:rPr>
        <w:t>udávají hodnotu odvedenou a udrženou v dané lokalitě)</w:t>
      </w:r>
    </w:p>
    <w:p w14:paraId="50BDF67C" w14:textId="45976B06" w:rsidR="006576FC" w:rsidRPr="0086466C" w:rsidRDefault="006576FC" w:rsidP="00515A92">
      <w:pPr>
        <w:pStyle w:val="Odstavecseseznamem"/>
        <w:numPr>
          <w:ilvl w:val="0"/>
          <w:numId w:val="1"/>
        </w:numPr>
        <w:spacing w:before="120" w:after="0"/>
        <w:jc w:val="both"/>
        <w:rPr>
          <w:rFonts w:ascii="Arial" w:hAnsi="Arial" w:cs="Arial"/>
        </w:rPr>
      </w:pPr>
      <w:r w:rsidRPr="0086466C">
        <w:rPr>
          <w:rFonts w:ascii="Arial" w:hAnsi="Arial" w:cs="Arial"/>
          <w:b/>
          <w:bCs/>
        </w:rPr>
        <w:t>Odpisy</w:t>
      </w:r>
      <w:r w:rsidRPr="0086466C">
        <w:rPr>
          <w:rFonts w:ascii="Arial" w:hAnsi="Arial" w:cs="Arial"/>
        </w:rPr>
        <w:t xml:space="preserve"> (ukazují kapitálovou náročnost produkce)</w:t>
      </w:r>
    </w:p>
    <w:p w14:paraId="01880F3D" w14:textId="3A5E73D8" w:rsidR="00503594" w:rsidRPr="0086466C" w:rsidRDefault="006576FC" w:rsidP="00503594">
      <w:pPr>
        <w:spacing w:before="120" w:after="0"/>
        <w:jc w:val="both"/>
        <w:rPr>
          <w:rFonts w:ascii="Arial" w:hAnsi="Arial" w:cs="Arial"/>
        </w:rPr>
      </w:pPr>
      <w:r w:rsidRPr="0086466C">
        <w:rPr>
          <w:rFonts w:ascii="Arial" w:hAnsi="Arial" w:cs="Arial"/>
        </w:rPr>
        <w:t>Vzájemný vztah hodnoty udržené a vytvořené</w:t>
      </w:r>
      <w:r w:rsidR="00503594" w:rsidRPr="0086466C">
        <w:rPr>
          <w:rFonts w:ascii="Arial" w:hAnsi="Arial" w:cs="Arial"/>
        </w:rPr>
        <w:t xml:space="preserve"> je zásadní pro pochopení, jaké ekonomické benefity přináší zapojení </w:t>
      </w:r>
      <w:r w:rsidRPr="0086466C">
        <w:rPr>
          <w:rFonts w:ascii="Arial" w:hAnsi="Arial" w:cs="Arial"/>
        </w:rPr>
        <w:t xml:space="preserve">firem v </w:t>
      </w:r>
      <w:r w:rsidR="00503594" w:rsidRPr="0086466C">
        <w:rPr>
          <w:rFonts w:ascii="Arial" w:hAnsi="Arial" w:cs="Arial"/>
        </w:rPr>
        <w:t xml:space="preserve">regionu do globálních hodnotových řetězců, a proč je důležité zvyšovat míru </w:t>
      </w:r>
      <w:r w:rsidR="00503594" w:rsidRPr="0086466C">
        <w:rPr>
          <w:rFonts w:ascii="Arial" w:hAnsi="Arial" w:cs="Arial"/>
          <w:b/>
          <w:bCs/>
        </w:rPr>
        <w:t>udržení hodnoty</w:t>
      </w:r>
      <w:r w:rsidR="00503594" w:rsidRPr="0086466C">
        <w:rPr>
          <w:rFonts w:ascii="Arial" w:hAnsi="Arial" w:cs="Arial"/>
        </w:rPr>
        <w:t>, například podporou místního vlastnictví, inovací nebo kvalifikace pracovní síly.</w:t>
      </w:r>
    </w:p>
    <w:p w14:paraId="53C45938" w14:textId="1C400C53" w:rsidR="000A665D" w:rsidRPr="0086466C" w:rsidRDefault="00DD3059" w:rsidP="00503594">
      <w:pPr>
        <w:spacing w:before="120" w:after="0"/>
        <w:jc w:val="both"/>
        <w:rPr>
          <w:rFonts w:ascii="Arial" w:hAnsi="Arial" w:cs="Arial"/>
        </w:rPr>
      </w:pPr>
      <w:r w:rsidRPr="0086466C">
        <w:rPr>
          <w:rFonts w:ascii="Arial" w:hAnsi="Arial" w:cs="Arial"/>
        </w:rPr>
        <w:t xml:space="preserve">Pro vybrané ekonomické subjekty bylo proto </w:t>
      </w:r>
      <w:r w:rsidRPr="0086466C">
        <w:rPr>
          <w:rFonts w:ascii="Arial" w:hAnsi="Arial" w:cs="Arial"/>
          <w:b/>
          <w:bCs/>
        </w:rPr>
        <w:t>z</w:t>
      </w:r>
      <w:r w:rsidR="00BB2527" w:rsidRPr="0086466C">
        <w:rPr>
          <w:rFonts w:ascii="Arial" w:hAnsi="Arial" w:cs="Arial"/>
          <w:b/>
          <w:bCs/>
        </w:rPr>
        <w:t>jišťováno</w:t>
      </w:r>
      <w:r w:rsidRPr="0086466C">
        <w:rPr>
          <w:rFonts w:ascii="Arial" w:hAnsi="Arial" w:cs="Arial"/>
          <w:b/>
          <w:bCs/>
        </w:rPr>
        <w:t xml:space="preserve"> všech 6 výše uvedených ukazatelů</w:t>
      </w:r>
      <w:r w:rsidR="00AE4B35" w:rsidRPr="0086466C">
        <w:rPr>
          <w:rFonts w:ascii="Arial" w:hAnsi="Arial" w:cs="Arial"/>
        </w:rPr>
        <w:t xml:space="preserve">, aby bylo možné stanovit jejich vytvořenou a udrženou hodnotu v území i provádět další analýzy závislostí mezi těmito </w:t>
      </w:r>
      <w:r w:rsidR="00AE60B5" w:rsidRPr="0086466C">
        <w:rPr>
          <w:rFonts w:ascii="Arial" w:hAnsi="Arial" w:cs="Arial"/>
        </w:rPr>
        <w:t xml:space="preserve">ukazateli. Zdrojem dat byla </w:t>
      </w:r>
      <w:r w:rsidR="00AE60B5" w:rsidRPr="0086466C">
        <w:rPr>
          <w:rFonts w:ascii="Arial" w:hAnsi="Arial" w:cs="Arial"/>
          <w:b/>
          <w:bCs/>
        </w:rPr>
        <w:t xml:space="preserve">neveřejná databáze D&amp;B </w:t>
      </w:r>
      <w:proofErr w:type="spellStart"/>
      <w:r w:rsidR="00AE60B5" w:rsidRPr="0086466C">
        <w:rPr>
          <w:rFonts w:ascii="Arial" w:hAnsi="Arial" w:cs="Arial"/>
          <w:b/>
          <w:bCs/>
        </w:rPr>
        <w:t>Hoovers</w:t>
      </w:r>
      <w:proofErr w:type="spellEnd"/>
      <w:r w:rsidR="00AE60B5" w:rsidRPr="0086466C">
        <w:rPr>
          <w:rFonts w:ascii="Arial" w:hAnsi="Arial" w:cs="Arial"/>
        </w:rPr>
        <w:t xml:space="preserve"> </w:t>
      </w:r>
      <w:r w:rsidR="00C0451E" w:rsidRPr="0086466C">
        <w:rPr>
          <w:rFonts w:ascii="Arial" w:hAnsi="Arial" w:cs="Arial"/>
        </w:rPr>
        <w:t>společnost</w:t>
      </w:r>
      <w:r w:rsidR="00645D8E" w:rsidRPr="0086466C">
        <w:rPr>
          <w:rFonts w:ascii="Arial" w:hAnsi="Arial" w:cs="Arial"/>
        </w:rPr>
        <w:t xml:space="preserve">i Dun &amp; </w:t>
      </w:r>
      <w:proofErr w:type="spellStart"/>
      <w:r w:rsidR="00645D8E" w:rsidRPr="0086466C">
        <w:rPr>
          <w:rFonts w:ascii="Arial" w:hAnsi="Arial" w:cs="Arial"/>
        </w:rPr>
        <w:t>Bradstreet</w:t>
      </w:r>
      <w:proofErr w:type="spellEnd"/>
      <w:r w:rsidR="00F11145" w:rsidRPr="0086466C">
        <w:rPr>
          <w:rFonts w:ascii="Arial" w:hAnsi="Arial" w:cs="Arial"/>
        </w:rPr>
        <w:t xml:space="preserve">, která za licenční poplatek umožňuje uživatelům přístup k informacím o ekonomických subjektech z celého světa ve velmi podrobném detailu. Databáze obsahuje kromě celé řady atributů i </w:t>
      </w:r>
      <w:r w:rsidR="00F11145" w:rsidRPr="0086466C">
        <w:rPr>
          <w:rFonts w:ascii="Arial" w:hAnsi="Arial" w:cs="Arial"/>
          <w:b/>
          <w:bCs/>
        </w:rPr>
        <w:t>výsledky účetních závěrek</w:t>
      </w:r>
      <w:r w:rsidR="00F11145" w:rsidRPr="0086466C">
        <w:rPr>
          <w:rFonts w:ascii="Arial" w:hAnsi="Arial" w:cs="Arial"/>
        </w:rPr>
        <w:t>, ze kterých je možné získat hodnoty všech požadovaných ukazatelů i za několik let zpětně.</w:t>
      </w:r>
    </w:p>
    <w:p w14:paraId="3894E12E" w14:textId="7DF82647" w:rsidR="00F11145" w:rsidRPr="0086466C" w:rsidRDefault="00F11145" w:rsidP="00503594">
      <w:pPr>
        <w:spacing w:before="120" w:after="0"/>
        <w:jc w:val="both"/>
        <w:rPr>
          <w:rFonts w:ascii="Arial" w:hAnsi="Arial" w:cs="Arial"/>
        </w:rPr>
      </w:pPr>
      <w:r w:rsidRPr="0086466C">
        <w:rPr>
          <w:rFonts w:ascii="Arial" w:hAnsi="Arial" w:cs="Arial"/>
        </w:rPr>
        <w:t xml:space="preserve">Všechny uvedené </w:t>
      </w:r>
      <w:r w:rsidRPr="0086466C">
        <w:rPr>
          <w:rFonts w:ascii="Arial" w:hAnsi="Arial" w:cs="Arial"/>
          <w:b/>
          <w:bCs/>
        </w:rPr>
        <w:t xml:space="preserve">ekonomické ukazatele byly </w:t>
      </w:r>
      <w:r w:rsidR="00296631" w:rsidRPr="0086466C">
        <w:rPr>
          <w:rFonts w:ascii="Arial" w:hAnsi="Arial" w:cs="Arial"/>
          <w:b/>
          <w:bCs/>
        </w:rPr>
        <w:t>zjišťovány za posledních dostupných 5 let</w:t>
      </w:r>
      <w:r w:rsidR="00296631" w:rsidRPr="0086466C">
        <w:rPr>
          <w:rFonts w:ascii="Arial" w:hAnsi="Arial" w:cs="Arial"/>
        </w:rPr>
        <w:t xml:space="preserve">, tj. za roky 2018, 2019, 2020, 2021 a 2022. Ne pro všechny společnosti však byly hodnoty </w:t>
      </w:r>
      <w:r w:rsidR="00C073CE" w:rsidRPr="0086466C">
        <w:rPr>
          <w:rFonts w:ascii="Arial" w:hAnsi="Arial" w:cs="Arial"/>
        </w:rPr>
        <w:t xml:space="preserve">dostupné za celé sledované období, v některých případech chyběly účetní závěrky zcela. V takovém případě byl </w:t>
      </w:r>
      <w:r w:rsidR="00C073CE" w:rsidRPr="0086466C">
        <w:rPr>
          <w:rFonts w:ascii="Arial" w:hAnsi="Arial" w:cs="Arial"/>
          <w:b/>
          <w:bCs/>
        </w:rPr>
        <w:t>ekonomický subjekt z další analýzy vyloučen</w:t>
      </w:r>
      <w:r w:rsidR="00C073CE" w:rsidRPr="0086466C">
        <w:rPr>
          <w:rFonts w:ascii="Arial" w:hAnsi="Arial" w:cs="Arial"/>
        </w:rPr>
        <w:t xml:space="preserve"> a </w:t>
      </w:r>
      <w:r w:rsidR="0086520E" w:rsidRPr="0086466C">
        <w:rPr>
          <w:rFonts w:ascii="Arial" w:hAnsi="Arial" w:cs="Arial"/>
        </w:rPr>
        <w:t xml:space="preserve">tím se celkový </w:t>
      </w:r>
      <w:r w:rsidR="0086520E" w:rsidRPr="0086466C">
        <w:rPr>
          <w:rFonts w:ascii="Arial" w:hAnsi="Arial" w:cs="Arial"/>
          <w:b/>
          <w:bCs/>
        </w:rPr>
        <w:t xml:space="preserve">počet hodnocených subjektů snížil na </w:t>
      </w:r>
      <w:r w:rsidR="00BA45AA" w:rsidRPr="0086466C">
        <w:rPr>
          <w:rFonts w:ascii="Arial" w:hAnsi="Arial" w:cs="Arial"/>
          <w:b/>
          <w:bCs/>
        </w:rPr>
        <w:t>169</w:t>
      </w:r>
      <w:r w:rsidR="00BB2527" w:rsidRPr="0086466C">
        <w:rPr>
          <w:rFonts w:ascii="Arial" w:hAnsi="Arial" w:cs="Arial"/>
          <w:b/>
          <w:bCs/>
        </w:rPr>
        <w:t xml:space="preserve"> firem</w:t>
      </w:r>
      <w:r w:rsidR="00BB2527" w:rsidRPr="0086466C">
        <w:rPr>
          <w:rFonts w:ascii="Arial" w:hAnsi="Arial" w:cs="Arial"/>
        </w:rPr>
        <w:t>.</w:t>
      </w:r>
    </w:p>
    <w:p w14:paraId="483D1895" w14:textId="1A0B9452" w:rsidR="00E66C41" w:rsidRPr="0086466C" w:rsidRDefault="00025F4A" w:rsidP="00425636">
      <w:pPr>
        <w:spacing w:before="120" w:after="120"/>
        <w:jc w:val="both"/>
        <w:rPr>
          <w:rFonts w:ascii="Arial" w:hAnsi="Arial" w:cs="Arial"/>
        </w:rPr>
      </w:pPr>
      <w:r w:rsidRPr="0086466C">
        <w:rPr>
          <w:rFonts w:ascii="Arial" w:hAnsi="Arial" w:cs="Arial"/>
        </w:rPr>
        <w:lastRenderedPageBreak/>
        <w:t xml:space="preserve">Souhrnné výsledky subjektů z hlediska výše </w:t>
      </w:r>
      <w:r w:rsidR="00425636" w:rsidRPr="0086466C">
        <w:rPr>
          <w:rFonts w:ascii="Arial" w:hAnsi="Arial" w:cs="Arial"/>
        </w:rPr>
        <w:t>popsaných</w:t>
      </w:r>
      <w:r w:rsidRPr="0086466C">
        <w:rPr>
          <w:rFonts w:ascii="Arial" w:hAnsi="Arial" w:cs="Arial"/>
        </w:rPr>
        <w:t xml:space="preserve"> ekonomických ukazatelů jsou </w:t>
      </w:r>
      <w:r w:rsidR="00425636" w:rsidRPr="0086466C">
        <w:rPr>
          <w:rFonts w:ascii="Arial" w:hAnsi="Arial" w:cs="Arial"/>
        </w:rPr>
        <w:t xml:space="preserve">uvedeny v tabulce </w:t>
      </w:r>
      <w:proofErr w:type="gramStart"/>
      <w:r w:rsidR="00425636" w:rsidRPr="0086466C">
        <w:rPr>
          <w:rFonts w:ascii="Arial" w:hAnsi="Arial" w:cs="Arial"/>
        </w:rPr>
        <w:t>7</w:t>
      </w:r>
      <w:r w:rsidR="00283F6C" w:rsidRPr="0086466C">
        <w:rPr>
          <w:rFonts w:ascii="Arial" w:hAnsi="Arial" w:cs="Arial"/>
        </w:rPr>
        <w:t>.</w:t>
      </w:r>
      <w:r w:rsidR="00425636" w:rsidRPr="0086466C">
        <w:rPr>
          <w:rFonts w:ascii="Arial" w:hAnsi="Arial" w:cs="Arial"/>
        </w:rPr>
        <w:t>.</w:t>
      </w:r>
      <w:proofErr w:type="gramEnd"/>
      <w:r w:rsidR="004C68B2" w:rsidRPr="0086466C">
        <w:rPr>
          <w:rFonts w:ascii="Arial" w:hAnsi="Arial" w:cs="Arial"/>
        </w:rPr>
        <w:t xml:space="preserve"> </w:t>
      </w:r>
      <w:r w:rsidR="006D4B8F" w:rsidRPr="0086466C">
        <w:rPr>
          <w:rFonts w:ascii="Arial" w:hAnsi="Arial" w:cs="Arial"/>
        </w:rPr>
        <w:t xml:space="preserve">Vzhledem k tomu, že se jedná o </w:t>
      </w:r>
      <w:r w:rsidR="006D4B8F" w:rsidRPr="0086466C">
        <w:rPr>
          <w:rFonts w:ascii="Arial" w:hAnsi="Arial" w:cs="Arial"/>
          <w:b/>
          <w:bCs/>
        </w:rPr>
        <w:t xml:space="preserve">relativizované údaje </w:t>
      </w:r>
      <w:r w:rsidR="006D4B8F" w:rsidRPr="0086466C">
        <w:rPr>
          <w:rFonts w:ascii="Arial" w:hAnsi="Arial" w:cs="Arial"/>
        </w:rPr>
        <w:t>(</w:t>
      </w:r>
      <w:r w:rsidR="002C16AC" w:rsidRPr="0086466C">
        <w:rPr>
          <w:rFonts w:ascii="Arial" w:hAnsi="Arial" w:cs="Arial"/>
        </w:rPr>
        <w:t>změna v %, podíl k obratu či podíl na zaměstnance), j</w:t>
      </w:r>
      <w:r w:rsidR="00A74C92" w:rsidRPr="0086466C">
        <w:rPr>
          <w:rFonts w:ascii="Arial" w:hAnsi="Arial" w:cs="Arial"/>
        </w:rPr>
        <w:t>sou tyto ukazatele vzájemně srovnatelné.</w:t>
      </w:r>
      <w:r w:rsidR="00FA30AB" w:rsidRPr="0086466C">
        <w:rPr>
          <w:rFonts w:ascii="Arial" w:hAnsi="Arial" w:cs="Arial"/>
        </w:rPr>
        <w:t xml:space="preserve"> V případě hodnoty vytvořené se jedná o </w:t>
      </w:r>
      <w:r w:rsidR="003C2811" w:rsidRPr="0086466C">
        <w:rPr>
          <w:rFonts w:ascii="Arial" w:hAnsi="Arial" w:cs="Arial"/>
        </w:rPr>
        <w:t>prostý</w:t>
      </w:r>
      <w:r w:rsidR="00FA30AB" w:rsidRPr="0086466C">
        <w:rPr>
          <w:rFonts w:ascii="Arial" w:hAnsi="Arial" w:cs="Arial"/>
        </w:rPr>
        <w:t xml:space="preserve"> souče</w:t>
      </w:r>
      <w:r w:rsidR="00586520" w:rsidRPr="0086466C">
        <w:rPr>
          <w:rFonts w:ascii="Arial" w:hAnsi="Arial" w:cs="Arial"/>
        </w:rPr>
        <w:t xml:space="preserve">t tří dílčích ukazatelů a </w:t>
      </w:r>
      <w:r w:rsidR="007112F7" w:rsidRPr="0086466C">
        <w:rPr>
          <w:rFonts w:ascii="Arial" w:hAnsi="Arial" w:cs="Arial"/>
        </w:rPr>
        <w:t xml:space="preserve">může nabývat i záporných hodnot. Hodnota udržená je pak získána jako </w:t>
      </w:r>
      <w:r w:rsidR="003C2811" w:rsidRPr="0086466C">
        <w:rPr>
          <w:rFonts w:ascii="Arial" w:hAnsi="Arial" w:cs="Arial"/>
        </w:rPr>
        <w:t xml:space="preserve">vážený </w:t>
      </w:r>
      <w:r w:rsidR="007112F7" w:rsidRPr="0086466C">
        <w:rPr>
          <w:rFonts w:ascii="Arial" w:hAnsi="Arial" w:cs="Arial"/>
        </w:rPr>
        <w:t>součet a je vždy kladná.</w:t>
      </w:r>
    </w:p>
    <w:tbl>
      <w:tblPr>
        <w:tblW w:w="10065" w:type="dxa"/>
        <w:tblInd w:w="-42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3"/>
        <w:gridCol w:w="567"/>
        <w:gridCol w:w="621"/>
        <w:gridCol w:w="719"/>
        <w:gridCol w:w="719"/>
        <w:gridCol w:w="896"/>
        <w:gridCol w:w="803"/>
        <w:gridCol w:w="719"/>
        <w:gridCol w:w="719"/>
        <w:gridCol w:w="899"/>
      </w:tblGrid>
      <w:tr w:rsidR="004C2EE4" w:rsidRPr="0086466C" w14:paraId="16E44513" w14:textId="77777777" w:rsidTr="00E21BDA">
        <w:trPr>
          <w:trHeight w:val="268"/>
        </w:trPr>
        <w:tc>
          <w:tcPr>
            <w:tcW w:w="10065" w:type="dxa"/>
            <w:gridSpan w:val="10"/>
            <w:tcBorders>
              <w:bottom w:val="single" w:sz="4" w:space="0" w:color="auto"/>
            </w:tcBorders>
            <w:vAlign w:val="center"/>
          </w:tcPr>
          <w:p w14:paraId="59B1D925" w14:textId="4B871095" w:rsidR="004C2EE4" w:rsidRPr="0086466C" w:rsidRDefault="004C2EE4" w:rsidP="004C2EE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cs-CZ"/>
                <w14:ligatures w14:val="none"/>
              </w:rPr>
            </w:pPr>
            <w:r w:rsidRPr="0086466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Tabulka 7: Hodnota vytvořená a udržená podle postavení ekonomických subjektů v GPN</w:t>
            </w:r>
          </w:p>
        </w:tc>
      </w:tr>
      <w:tr w:rsidR="00C14619" w:rsidRPr="0086466C" w14:paraId="2EE80923" w14:textId="77777777" w:rsidTr="00E21BDA">
        <w:trPr>
          <w:trHeight w:val="915"/>
        </w:trPr>
        <w:tc>
          <w:tcPr>
            <w:tcW w:w="340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EFE541" w14:textId="77777777" w:rsidR="00CC07FF" w:rsidRPr="0086466C" w:rsidRDefault="00CC07FF" w:rsidP="00CC07F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cs-CZ"/>
                <w14:ligatures w14:val="none"/>
              </w:rPr>
            </w:pPr>
            <w:r w:rsidRPr="0086466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cs-CZ"/>
                <w14:ligatures w14:val="none"/>
              </w:rPr>
              <w:t>Pozice v GPN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3AE2E7" w14:textId="77777777" w:rsidR="00CC07FF" w:rsidRPr="0086466C" w:rsidRDefault="00CC07FF" w:rsidP="00CC07F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cs-CZ"/>
                <w14:ligatures w14:val="none"/>
              </w:rPr>
            </w:pPr>
            <w:r w:rsidRPr="0086466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cs-CZ"/>
                <w14:ligatures w14:val="none"/>
              </w:rPr>
              <w:t>počet firem</w:t>
            </w:r>
          </w:p>
        </w:tc>
        <w:tc>
          <w:tcPr>
            <w:tcW w:w="62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5E6A2"/>
            <w:vAlign w:val="bottom"/>
            <w:hideMark/>
          </w:tcPr>
          <w:p w14:paraId="511F8E29" w14:textId="77777777" w:rsidR="00CC07FF" w:rsidRPr="0086466C" w:rsidRDefault="00CC07FF" w:rsidP="00CC07F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cs-CZ"/>
                <w14:ligatures w14:val="none"/>
              </w:rPr>
            </w:pPr>
            <w:r w:rsidRPr="0086466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cs-CZ"/>
                <w14:ligatures w14:val="none"/>
              </w:rPr>
              <w:t>změna obratu v %</w:t>
            </w:r>
          </w:p>
        </w:tc>
        <w:tc>
          <w:tcPr>
            <w:tcW w:w="7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5E6A2"/>
            <w:vAlign w:val="bottom"/>
            <w:hideMark/>
          </w:tcPr>
          <w:p w14:paraId="429D975B" w14:textId="76F7B436" w:rsidR="00CC07FF" w:rsidRPr="0086466C" w:rsidRDefault="00CC07FF" w:rsidP="00E21B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cs-CZ"/>
                <w14:ligatures w14:val="none"/>
              </w:rPr>
            </w:pPr>
            <w:r w:rsidRPr="0086466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cs-CZ"/>
                <w14:ligatures w14:val="none"/>
              </w:rPr>
              <w:t>podíl přidané hodnoty k</w:t>
            </w:r>
            <w:r w:rsidR="00E21BDA" w:rsidRPr="0086466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cs-CZ"/>
                <w14:ligatures w14:val="none"/>
              </w:rPr>
              <w:t> </w:t>
            </w:r>
            <w:r w:rsidRPr="0086466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cs-CZ"/>
                <w14:ligatures w14:val="none"/>
              </w:rPr>
              <w:t>obratu</w:t>
            </w:r>
          </w:p>
        </w:tc>
        <w:tc>
          <w:tcPr>
            <w:tcW w:w="7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5E6A2"/>
            <w:vAlign w:val="bottom"/>
            <w:hideMark/>
          </w:tcPr>
          <w:p w14:paraId="32C45D72" w14:textId="240DE22A" w:rsidR="00CC07FF" w:rsidRPr="0086466C" w:rsidRDefault="00CC07FF" w:rsidP="00CC07F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cs-CZ"/>
                <w14:ligatures w14:val="none"/>
              </w:rPr>
            </w:pPr>
            <w:r w:rsidRPr="0086466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cs-CZ"/>
                <w14:ligatures w14:val="none"/>
              </w:rPr>
              <w:t>podíl EBT k</w:t>
            </w:r>
            <w:r w:rsidR="00E21BDA" w:rsidRPr="0086466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cs-CZ"/>
                <w14:ligatures w14:val="none"/>
              </w:rPr>
              <w:t> </w:t>
            </w:r>
            <w:r w:rsidRPr="0086466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cs-CZ"/>
                <w14:ligatures w14:val="none"/>
              </w:rPr>
              <w:t>obratu</w:t>
            </w: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47D359"/>
            <w:vAlign w:val="bottom"/>
            <w:hideMark/>
          </w:tcPr>
          <w:p w14:paraId="32419AA8" w14:textId="77777777" w:rsidR="00CC07FF" w:rsidRPr="0086466C" w:rsidRDefault="00CC07FF" w:rsidP="00CC07F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cs-CZ"/>
                <w14:ligatures w14:val="none"/>
              </w:rPr>
            </w:pPr>
            <w:r w:rsidRPr="0086466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cs-CZ"/>
                <w14:ligatures w14:val="none"/>
              </w:rPr>
              <w:t>hodnota vytvořená</w:t>
            </w:r>
          </w:p>
        </w:tc>
        <w:tc>
          <w:tcPr>
            <w:tcW w:w="80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vAlign w:val="bottom"/>
            <w:hideMark/>
          </w:tcPr>
          <w:p w14:paraId="19D6FA5F" w14:textId="6C2789B0" w:rsidR="00CC07FF" w:rsidRPr="0086466C" w:rsidRDefault="00CC07FF" w:rsidP="00CC07F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cs-CZ"/>
                <w14:ligatures w14:val="none"/>
              </w:rPr>
            </w:pPr>
            <w:r w:rsidRPr="0086466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cs-CZ"/>
                <w14:ligatures w14:val="none"/>
              </w:rPr>
              <w:t xml:space="preserve">podíl </w:t>
            </w:r>
            <w:proofErr w:type="spellStart"/>
            <w:r w:rsidRPr="0086466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cs-CZ"/>
                <w14:ligatures w14:val="none"/>
              </w:rPr>
              <w:t>perso</w:t>
            </w:r>
            <w:r w:rsidR="00E21BDA" w:rsidRPr="0086466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cs-CZ"/>
                <w14:ligatures w14:val="none"/>
              </w:rPr>
              <w:t>-</w:t>
            </w:r>
            <w:r w:rsidRPr="0086466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cs-CZ"/>
                <w14:ligatures w14:val="none"/>
              </w:rPr>
              <w:t>ná</w:t>
            </w:r>
            <w:r w:rsidR="00E21BDA" w:rsidRPr="0086466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cs-CZ"/>
                <w14:ligatures w14:val="none"/>
              </w:rPr>
              <w:t>l</w:t>
            </w:r>
            <w:r w:rsidRPr="0086466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cs-CZ"/>
                <w14:ligatures w14:val="none"/>
              </w:rPr>
              <w:t>ních</w:t>
            </w:r>
            <w:proofErr w:type="spellEnd"/>
            <w:r w:rsidRPr="0086466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cs-CZ"/>
                <w14:ligatures w14:val="none"/>
              </w:rPr>
              <w:t xml:space="preserve"> nákladů k obratu</w:t>
            </w:r>
          </w:p>
        </w:tc>
        <w:tc>
          <w:tcPr>
            <w:tcW w:w="7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vAlign w:val="bottom"/>
            <w:hideMark/>
          </w:tcPr>
          <w:p w14:paraId="674FD218" w14:textId="59C8F136" w:rsidR="00CC07FF" w:rsidRPr="0086466C" w:rsidRDefault="00CC07FF" w:rsidP="00CC07F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cs-CZ"/>
                <w14:ligatures w14:val="none"/>
              </w:rPr>
            </w:pPr>
            <w:r w:rsidRPr="0086466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cs-CZ"/>
                <w14:ligatures w14:val="none"/>
              </w:rPr>
              <w:t>podíl odpisů k</w:t>
            </w:r>
            <w:r w:rsidR="00E21BDA" w:rsidRPr="0086466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cs-CZ"/>
                <w14:ligatures w14:val="none"/>
              </w:rPr>
              <w:t> </w:t>
            </w:r>
            <w:r w:rsidRPr="0086466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cs-CZ"/>
                <w14:ligatures w14:val="none"/>
              </w:rPr>
              <w:t>obratu</w:t>
            </w:r>
          </w:p>
        </w:tc>
        <w:tc>
          <w:tcPr>
            <w:tcW w:w="7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vAlign w:val="bottom"/>
            <w:hideMark/>
          </w:tcPr>
          <w:p w14:paraId="7C3BDCC6" w14:textId="0C57FADE" w:rsidR="00CC07FF" w:rsidRPr="0086466C" w:rsidRDefault="00CC07FF" w:rsidP="00CC07F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cs-CZ"/>
                <w14:ligatures w14:val="none"/>
              </w:rPr>
            </w:pPr>
            <w:r w:rsidRPr="0086466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cs-CZ"/>
                <w14:ligatures w14:val="none"/>
              </w:rPr>
              <w:t>podíl daně k</w:t>
            </w:r>
            <w:r w:rsidR="00E21BDA" w:rsidRPr="0086466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cs-CZ"/>
                <w14:ligatures w14:val="none"/>
              </w:rPr>
              <w:t> </w:t>
            </w:r>
            <w:r w:rsidRPr="0086466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cs-CZ"/>
                <w14:ligatures w14:val="none"/>
              </w:rPr>
              <w:t>obratu</w:t>
            </w:r>
          </w:p>
        </w:tc>
        <w:tc>
          <w:tcPr>
            <w:tcW w:w="89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E49EDD"/>
            <w:vAlign w:val="bottom"/>
            <w:hideMark/>
          </w:tcPr>
          <w:p w14:paraId="1F919403" w14:textId="77777777" w:rsidR="00CC07FF" w:rsidRPr="0086466C" w:rsidRDefault="00CC07FF" w:rsidP="00CC07F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cs-CZ"/>
                <w14:ligatures w14:val="none"/>
              </w:rPr>
            </w:pPr>
            <w:r w:rsidRPr="0086466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cs-CZ"/>
                <w14:ligatures w14:val="none"/>
              </w:rPr>
              <w:t>hodnota udržená</w:t>
            </w:r>
          </w:p>
        </w:tc>
      </w:tr>
      <w:tr w:rsidR="00E21BDA" w:rsidRPr="0086466C" w14:paraId="6F7D8C90" w14:textId="77777777" w:rsidTr="00E21BDA">
        <w:trPr>
          <w:trHeight w:val="196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B35996" w14:textId="77777777" w:rsidR="00CC07FF" w:rsidRPr="0086466C" w:rsidRDefault="00CC07FF" w:rsidP="00CC07F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86466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Vedoucí firma (integrátor)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80891C" w14:textId="77777777" w:rsidR="00CC07FF" w:rsidRPr="0086466C" w:rsidRDefault="00CC07FF" w:rsidP="00CC07F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86466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3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18EB29" w14:textId="77777777" w:rsidR="00CC07FF" w:rsidRPr="0086466C" w:rsidRDefault="00CC07FF" w:rsidP="00CC07F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86466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127,4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0264A0" w14:textId="77777777" w:rsidR="00CC07FF" w:rsidRPr="0086466C" w:rsidRDefault="00CC07FF" w:rsidP="00CC07F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86466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33,7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DB3B12" w14:textId="77777777" w:rsidR="00CC07FF" w:rsidRPr="0086466C" w:rsidRDefault="00CC07FF" w:rsidP="00CC07F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86466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-1,4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75FF93" w14:textId="77777777" w:rsidR="00CC07FF" w:rsidRPr="0086466C" w:rsidRDefault="00CC07FF" w:rsidP="00CC07F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86466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159,7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DA82AA" w14:textId="77777777" w:rsidR="00CC07FF" w:rsidRPr="0086466C" w:rsidRDefault="00CC07FF" w:rsidP="00CC07F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86466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22,3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D3B2E9" w14:textId="77777777" w:rsidR="00CC07FF" w:rsidRPr="0086466C" w:rsidRDefault="00CC07FF" w:rsidP="00CC07F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86466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5,0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8377DA" w14:textId="77777777" w:rsidR="00CC07FF" w:rsidRPr="0086466C" w:rsidRDefault="00CC07FF" w:rsidP="00CC07F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86466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199AC8E" w14:textId="77777777" w:rsidR="00CC07FF" w:rsidRPr="0086466C" w:rsidRDefault="00CC07FF" w:rsidP="00CC07F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86466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32,3</w:t>
            </w:r>
          </w:p>
        </w:tc>
      </w:tr>
      <w:tr w:rsidR="00E21BDA" w:rsidRPr="0086466C" w14:paraId="7E63EF31" w14:textId="77777777" w:rsidTr="00E21BDA">
        <w:trPr>
          <w:trHeight w:val="187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866D5E" w14:textId="77777777" w:rsidR="00CC07FF" w:rsidRPr="0086466C" w:rsidRDefault="00CC07FF" w:rsidP="00CC07F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86466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Pobočka zahraniční vedoucí firmy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1E8F22" w14:textId="77777777" w:rsidR="00CC07FF" w:rsidRPr="0086466C" w:rsidRDefault="00CC07FF" w:rsidP="00CC07F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86466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23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65D8FB" w14:textId="77777777" w:rsidR="00CC07FF" w:rsidRPr="0086466C" w:rsidRDefault="00CC07FF" w:rsidP="00CC07F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86466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-6,4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41CF8D" w14:textId="77777777" w:rsidR="00CC07FF" w:rsidRPr="0086466C" w:rsidRDefault="00CC07FF" w:rsidP="00CC07F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86466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21,2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C4412B" w14:textId="77777777" w:rsidR="00CC07FF" w:rsidRPr="0086466C" w:rsidRDefault="00CC07FF" w:rsidP="00CC07F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86466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5,8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04EC82" w14:textId="77777777" w:rsidR="00CC07FF" w:rsidRPr="0086466C" w:rsidRDefault="00CC07FF" w:rsidP="00CC07F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86466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20,6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F2018E" w14:textId="77777777" w:rsidR="00CC07FF" w:rsidRPr="0086466C" w:rsidRDefault="00CC07FF" w:rsidP="00CC07F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86466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13,2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32859F" w14:textId="77777777" w:rsidR="00CC07FF" w:rsidRPr="0086466C" w:rsidRDefault="00CC07FF" w:rsidP="00CC07F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86466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3,4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3CE0DB" w14:textId="77777777" w:rsidR="00CC07FF" w:rsidRPr="0086466C" w:rsidRDefault="00CC07FF" w:rsidP="00CC07F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86466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1,1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B8AFEF5" w14:textId="77777777" w:rsidR="00CC07FF" w:rsidRPr="0086466C" w:rsidRDefault="00CC07FF" w:rsidP="00CC07F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86466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23,4</w:t>
            </w:r>
          </w:p>
        </w:tc>
      </w:tr>
      <w:tr w:rsidR="00E21BDA" w:rsidRPr="0086466C" w14:paraId="71638886" w14:textId="77777777" w:rsidTr="00E21BDA">
        <w:trPr>
          <w:trHeight w:val="148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DC241C" w14:textId="77777777" w:rsidR="00CC07FF" w:rsidRPr="0086466C" w:rsidRDefault="00CC07FF" w:rsidP="00CC07F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86466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Dodavatel 1. řádu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622302" w14:textId="77777777" w:rsidR="00CC07FF" w:rsidRPr="0086466C" w:rsidRDefault="00CC07FF" w:rsidP="00CC07F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86466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12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E5DF97" w14:textId="77777777" w:rsidR="00CC07FF" w:rsidRPr="0086466C" w:rsidRDefault="00CC07FF" w:rsidP="00CC07F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86466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-7,3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BF71DB" w14:textId="77777777" w:rsidR="00CC07FF" w:rsidRPr="0086466C" w:rsidRDefault="00CC07FF" w:rsidP="00CC07F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86466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19,4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7FBBC4" w14:textId="77777777" w:rsidR="00CC07FF" w:rsidRPr="0086466C" w:rsidRDefault="00CC07FF" w:rsidP="00CC07F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86466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2,0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534CE9" w14:textId="77777777" w:rsidR="00CC07FF" w:rsidRPr="0086466C" w:rsidRDefault="00CC07FF" w:rsidP="00CC07F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86466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14,1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BA401E" w14:textId="77777777" w:rsidR="00CC07FF" w:rsidRPr="0086466C" w:rsidRDefault="00CC07FF" w:rsidP="00CC07F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86466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14,9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3A7E96" w14:textId="77777777" w:rsidR="00CC07FF" w:rsidRPr="0086466C" w:rsidRDefault="00CC07FF" w:rsidP="00CC07F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86466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1,8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172977" w14:textId="77777777" w:rsidR="00CC07FF" w:rsidRPr="0086466C" w:rsidRDefault="00CC07FF" w:rsidP="00CC07F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86466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0,5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09EA66D" w14:textId="77777777" w:rsidR="00CC07FF" w:rsidRPr="0086466C" w:rsidRDefault="00CC07FF" w:rsidP="00CC07F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86466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20,2</w:t>
            </w:r>
          </w:p>
        </w:tc>
      </w:tr>
      <w:tr w:rsidR="00E21BDA" w:rsidRPr="0086466C" w14:paraId="40318B98" w14:textId="77777777" w:rsidTr="00E21BDA">
        <w:trPr>
          <w:trHeight w:val="124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797039" w14:textId="77777777" w:rsidR="00CC07FF" w:rsidRPr="0086466C" w:rsidRDefault="00CC07FF" w:rsidP="00CC07F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86466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Dodavatel 2. řádu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D2F1C7" w14:textId="77777777" w:rsidR="00CC07FF" w:rsidRPr="0086466C" w:rsidRDefault="00CC07FF" w:rsidP="00CC07F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86466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31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924C8A" w14:textId="77777777" w:rsidR="00CC07FF" w:rsidRPr="0086466C" w:rsidRDefault="00CC07FF" w:rsidP="00CC07F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86466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-8,1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8F1D87" w14:textId="77777777" w:rsidR="00CC07FF" w:rsidRPr="0086466C" w:rsidRDefault="00CC07FF" w:rsidP="00CC07F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86466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24,3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6CA43F" w14:textId="77777777" w:rsidR="00CC07FF" w:rsidRPr="0086466C" w:rsidRDefault="00CC07FF" w:rsidP="00CC07F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86466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1,6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E60DC8" w14:textId="77777777" w:rsidR="00CC07FF" w:rsidRPr="0086466C" w:rsidRDefault="00CC07FF" w:rsidP="00CC07F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86466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17,8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AB8619" w14:textId="77777777" w:rsidR="00CC07FF" w:rsidRPr="0086466C" w:rsidRDefault="00CC07FF" w:rsidP="00CC07F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86466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18,8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44621E" w14:textId="77777777" w:rsidR="00CC07FF" w:rsidRPr="0086466C" w:rsidRDefault="00CC07FF" w:rsidP="00CC07F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86466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3,9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750E9C" w14:textId="77777777" w:rsidR="00CC07FF" w:rsidRPr="0086466C" w:rsidRDefault="00CC07FF" w:rsidP="00CC07F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86466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0,4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6BE5E39" w14:textId="77777777" w:rsidR="00CC07FF" w:rsidRPr="0086466C" w:rsidRDefault="00CC07FF" w:rsidP="00CC07F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86466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27,9</w:t>
            </w:r>
          </w:p>
        </w:tc>
      </w:tr>
      <w:tr w:rsidR="00E21BDA" w:rsidRPr="0086466C" w14:paraId="22D8C9E0" w14:textId="77777777" w:rsidTr="00E21BDA">
        <w:trPr>
          <w:trHeight w:val="242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C52CB8" w14:textId="77777777" w:rsidR="00CC07FF" w:rsidRPr="0086466C" w:rsidRDefault="00CC07FF" w:rsidP="00CC07F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86466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Dodavatel 3. řádu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517B43" w14:textId="77777777" w:rsidR="00CC07FF" w:rsidRPr="0086466C" w:rsidRDefault="00CC07FF" w:rsidP="00CC07F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86466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23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F2B32D" w14:textId="77777777" w:rsidR="00CC07FF" w:rsidRPr="0086466C" w:rsidRDefault="00CC07FF" w:rsidP="00CC07F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86466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8,8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D08650" w14:textId="77777777" w:rsidR="00CC07FF" w:rsidRPr="0086466C" w:rsidRDefault="00CC07FF" w:rsidP="00CC07F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86466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32,6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BD710B" w14:textId="77777777" w:rsidR="00CC07FF" w:rsidRPr="0086466C" w:rsidRDefault="00CC07FF" w:rsidP="00CC07F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86466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7,7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A6A5DC" w14:textId="77777777" w:rsidR="00CC07FF" w:rsidRPr="0086466C" w:rsidRDefault="00CC07FF" w:rsidP="00CC07F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86466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49,1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35D438" w14:textId="77777777" w:rsidR="00CC07FF" w:rsidRPr="0086466C" w:rsidRDefault="00CC07FF" w:rsidP="00CC07F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86466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21,1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1B4662" w14:textId="77777777" w:rsidR="00CC07FF" w:rsidRPr="0086466C" w:rsidRDefault="00CC07FF" w:rsidP="00CC07F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86466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4,3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67CF82" w14:textId="77777777" w:rsidR="00CC07FF" w:rsidRPr="0086466C" w:rsidRDefault="00CC07FF" w:rsidP="00CC07F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86466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1,8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99060A8" w14:textId="77777777" w:rsidR="00CC07FF" w:rsidRPr="0086466C" w:rsidRDefault="00CC07FF" w:rsidP="00CC07F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86466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35,0</w:t>
            </w:r>
          </w:p>
        </w:tc>
      </w:tr>
      <w:tr w:rsidR="00E21BDA" w:rsidRPr="0086466C" w14:paraId="677070C9" w14:textId="77777777" w:rsidTr="00E21BDA">
        <w:trPr>
          <w:trHeight w:val="218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C56B1E" w14:textId="77777777" w:rsidR="00CC07FF" w:rsidRPr="0086466C" w:rsidRDefault="00CC07FF" w:rsidP="00CC07F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86466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Mimo GPN s přístupem na koncový trh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AB4872" w14:textId="77777777" w:rsidR="00CC07FF" w:rsidRPr="0086466C" w:rsidRDefault="00CC07FF" w:rsidP="00CC07F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86466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55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0722A4" w14:textId="77777777" w:rsidR="00CC07FF" w:rsidRPr="0086466C" w:rsidRDefault="00CC07FF" w:rsidP="00CC07F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86466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17,2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C8D6A0" w14:textId="77777777" w:rsidR="00CC07FF" w:rsidRPr="0086466C" w:rsidRDefault="00CC07FF" w:rsidP="00CC07F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86466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33,2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DEAB70" w14:textId="77777777" w:rsidR="00CC07FF" w:rsidRPr="0086466C" w:rsidRDefault="00CC07FF" w:rsidP="00CC07F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86466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6,9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63D682" w14:textId="77777777" w:rsidR="00CC07FF" w:rsidRPr="0086466C" w:rsidRDefault="00CC07FF" w:rsidP="00CC07F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86466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57,2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290582" w14:textId="77777777" w:rsidR="00CC07FF" w:rsidRPr="0086466C" w:rsidRDefault="00CC07FF" w:rsidP="00CC07F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86466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22,9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C4FC42" w14:textId="77777777" w:rsidR="00CC07FF" w:rsidRPr="0086466C" w:rsidRDefault="00CC07FF" w:rsidP="00CC07F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86466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4,3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0E3403" w14:textId="77777777" w:rsidR="00CC07FF" w:rsidRPr="0086466C" w:rsidRDefault="00CC07FF" w:rsidP="00CC07F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86466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1,2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7EE2E3B" w14:textId="77777777" w:rsidR="00CC07FF" w:rsidRPr="0086466C" w:rsidRDefault="00CC07FF" w:rsidP="00CC07F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86466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35,1</w:t>
            </w:r>
          </w:p>
        </w:tc>
      </w:tr>
      <w:tr w:rsidR="00E21BDA" w:rsidRPr="0086466C" w14:paraId="0886A9C4" w14:textId="77777777" w:rsidTr="00E21BDA">
        <w:trPr>
          <w:trHeight w:val="144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FA3C9AD" w14:textId="77777777" w:rsidR="00CC07FF" w:rsidRPr="0086466C" w:rsidRDefault="00CC07FF" w:rsidP="00CC07F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86466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Mimo GPN bez přístupu na koncový trh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97CD8F3" w14:textId="77777777" w:rsidR="00CC07FF" w:rsidRPr="0086466C" w:rsidRDefault="00CC07FF" w:rsidP="00CC07F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86466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22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14:paraId="359BB9B8" w14:textId="77777777" w:rsidR="00CC07FF" w:rsidRPr="0086466C" w:rsidRDefault="00CC07FF" w:rsidP="00CC07F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86466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64,4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14:paraId="3230A0B6" w14:textId="77777777" w:rsidR="00CC07FF" w:rsidRPr="0086466C" w:rsidRDefault="00CC07FF" w:rsidP="00CC07F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86466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24,9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14:paraId="0E9229EE" w14:textId="77777777" w:rsidR="00CC07FF" w:rsidRPr="0086466C" w:rsidRDefault="00CC07FF" w:rsidP="00CC07F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86466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4,4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14:paraId="185F51B3" w14:textId="77777777" w:rsidR="00CC07FF" w:rsidRPr="0086466C" w:rsidRDefault="00CC07FF" w:rsidP="00CC07F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86466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93,7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14:paraId="1BCE0962" w14:textId="77777777" w:rsidR="00CC07FF" w:rsidRPr="0086466C" w:rsidRDefault="00CC07FF" w:rsidP="00CC07F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86466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17,5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14:paraId="4A4AC7C6" w14:textId="77777777" w:rsidR="00CC07FF" w:rsidRPr="0086466C" w:rsidRDefault="00CC07FF" w:rsidP="00CC07F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86466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3,1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14:paraId="31DEC23C" w14:textId="77777777" w:rsidR="00CC07FF" w:rsidRPr="0086466C" w:rsidRDefault="00CC07FF" w:rsidP="00CC07F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86466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1,2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9CE4054" w14:textId="77777777" w:rsidR="00CC07FF" w:rsidRPr="0086466C" w:rsidRDefault="00CC07FF" w:rsidP="00CC07F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86466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27,4</w:t>
            </w:r>
          </w:p>
        </w:tc>
      </w:tr>
    </w:tbl>
    <w:p w14:paraId="67D90979" w14:textId="75850889" w:rsidR="00E66C41" w:rsidRPr="0086466C" w:rsidRDefault="00E27D8F" w:rsidP="00503594">
      <w:pPr>
        <w:spacing w:before="120" w:after="0"/>
        <w:jc w:val="both"/>
        <w:rPr>
          <w:rFonts w:ascii="Arial" w:hAnsi="Arial" w:cs="Arial"/>
        </w:rPr>
      </w:pPr>
      <w:r w:rsidRPr="0086466C">
        <w:rPr>
          <w:rFonts w:ascii="Arial" w:hAnsi="Arial" w:cs="Arial"/>
        </w:rPr>
        <w:t xml:space="preserve">Z hlediska postavení firem v GPN </w:t>
      </w:r>
      <w:r w:rsidR="00ED3DB5" w:rsidRPr="0086466C">
        <w:rPr>
          <w:rFonts w:ascii="Arial" w:hAnsi="Arial" w:cs="Arial"/>
        </w:rPr>
        <w:t xml:space="preserve">vyprodukují </w:t>
      </w:r>
      <w:r w:rsidR="00ED3DB5" w:rsidRPr="0086466C">
        <w:rPr>
          <w:rFonts w:ascii="Arial" w:hAnsi="Arial" w:cs="Arial"/>
          <w:b/>
          <w:bCs/>
        </w:rPr>
        <w:t>nejvyšší hodnotu vytvořenou domácí vedoucí firmy</w:t>
      </w:r>
      <w:r w:rsidR="00ED3DB5" w:rsidRPr="0086466C">
        <w:rPr>
          <w:rFonts w:ascii="Arial" w:hAnsi="Arial" w:cs="Arial"/>
        </w:rPr>
        <w:t xml:space="preserve">. Za nimi </w:t>
      </w:r>
      <w:r w:rsidR="00ED3DB5" w:rsidRPr="0086466C">
        <w:rPr>
          <w:rFonts w:ascii="Arial" w:hAnsi="Arial" w:cs="Arial"/>
          <w:b/>
          <w:bCs/>
        </w:rPr>
        <w:t>následují subjekty stojící mimo GPN</w:t>
      </w:r>
      <w:r w:rsidR="00ED3DB5" w:rsidRPr="0086466C">
        <w:rPr>
          <w:rFonts w:ascii="Arial" w:hAnsi="Arial" w:cs="Arial"/>
        </w:rPr>
        <w:t xml:space="preserve"> </w:t>
      </w:r>
      <w:r w:rsidR="000E1014" w:rsidRPr="0086466C">
        <w:rPr>
          <w:rFonts w:ascii="Arial" w:hAnsi="Arial" w:cs="Arial"/>
        </w:rPr>
        <w:t>bez</w:t>
      </w:r>
      <w:r w:rsidR="00ED3DB5" w:rsidRPr="0086466C">
        <w:rPr>
          <w:rFonts w:ascii="Arial" w:hAnsi="Arial" w:cs="Arial"/>
        </w:rPr>
        <w:t> přístup</w:t>
      </w:r>
      <w:r w:rsidR="000E1014" w:rsidRPr="0086466C">
        <w:rPr>
          <w:rFonts w:ascii="Arial" w:hAnsi="Arial" w:cs="Arial"/>
        </w:rPr>
        <w:t>u</w:t>
      </w:r>
      <w:r w:rsidR="00ED3DB5" w:rsidRPr="0086466C">
        <w:rPr>
          <w:rFonts w:ascii="Arial" w:hAnsi="Arial" w:cs="Arial"/>
        </w:rPr>
        <w:t xml:space="preserve"> na koncový trh</w:t>
      </w:r>
      <w:r w:rsidR="008F793F" w:rsidRPr="0086466C">
        <w:rPr>
          <w:rFonts w:ascii="Arial" w:hAnsi="Arial" w:cs="Arial"/>
        </w:rPr>
        <w:t xml:space="preserve"> a subjekty mimo GPN s přístupem na koncový trh. Poměrně </w:t>
      </w:r>
      <w:r w:rsidR="008F793F" w:rsidRPr="0086466C">
        <w:rPr>
          <w:rFonts w:ascii="Arial" w:hAnsi="Arial" w:cs="Arial"/>
          <w:b/>
          <w:bCs/>
        </w:rPr>
        <w:t>nízkou hodnotu vytvořenou vykazují firmy v postavení dodavatelů 1. a 2. řádu</w:t>
      </w:r>
      <w:r w:rsidR="003E0659" w:rsidRPr="0086466C">
        <w:rPr>
          <w:rFonts w:ascii="Arial" w:hAnsi="Arial" w:cs="Arial"/>
        </w:rPr>
        <w:t>. Spolu s </w:t>
      </w:r>
      <w:r w:rsidR="003E0659" w:rsidRPr="0086466C">
        <w:rPr>
          <w:rFonts w:ascii="Arial" w:hAnsi="Arial" w:cs="Arial"/>
          <w:b/>
          <w:bCs/>
        </w:rPr>
        <w:t>pobočkami zahraničních vedoucích firem mají také nejnižší hodnotu udrženou</w:t>
      </w:r>
      <w:r w:rsidR="00A04504" w:rsidRPr="0086466C">
        <w:rPr>
          <w:rFonts w:ascii="Arial" w:hAnsi="Arial" w:cs="Arial"/>
          <w:b/>
          <w:bCs/>
        </w:rPr>
        <w:t xml:space="preserve"> v území</w:t>
      </w:r>
      <w:r w:rsidR="00A04504" w:rsidRPr="0086466C">
        <w:rPr>
          <w:rFonts w:ascii="Arial" w:hAnsi="Arial" w:cs="Arial"/>
        </w:rPr>
        <w:t xml:space="preserve">. Naopak </w:t>
      </w:r>
      <w:r w:rsidR="00DB1C0E" w:rsidRPr="0086466C">
        <w:rPr>
          <w:rFonts w:ascii="Arial" w:hAnsi="Arial" w:cs="Arial"/>
          <w:b/>
          <w:bCs/>
        </w:rPr>
        <w:t xml:space="preserve">nejvyšší hodnotu udrženou </w:t>
      </w:r>
      <w:r w:rsidR="00A04504" w:rsidRPr="0086466C">
        <w:rPr>
          <w:rFonts w:ascii="Arial" w:hAnsi="Arial" w:cs="Arial"/>
          <w:b/>
          <w:bCs/>
        </w:rPr>
        <w:t>produkují ekono</w:t>
      </w:r>
      <w:r w:rsidR="00DD0459" w:rsidRPr="0086466C">
        <w:rPr>
          <w:rFonts w:ascii="Arial" w:hAnsi="Arial" w:cs="Arial"/>
          <w:b/>
          <w:bCs/>
        </w:rPr>
        <w:t>mické subjekty mimo GPN</w:t>
      </w:r>
      <w:r w:rsidR="00DD0459" w:rsidRPr="0086466C">
        <w:rPr>
          <w:rFonts w:ascii="Arial" w:hAnsi="Arial" w:cs="Arial"/>
        </w:rPr>
        <w:t xml:space="preserve"> s přístupem na koncový trh, dodavatelé 3. řádu a </w:t>
      </w:r>
      <w:r w:rsidR="00375D9F" w:rsidRPr="0086466C">
        <w:rPr>
          <w:rFonts w:ascii="Arial" w:hAnsi="Arial" w:cs="Arial"/>
        </w:rPr>
        <w:t>tuzemské vedoucí firmy.</w:t>
      </w:r>
    </w:p>
    <w:p w14:paraId="221CA8F4" w14:textId="44B19D47" w:rsidR="00150D4D" w:rsidRPr="0086466C" w:rsidRDefault="00150D4D" w:rsidP="00503594">
      <w:pPr>
        <w:spacing w:before="120" w:after="0"/>
        <w:jc w:val="both"/>
        <w:rPr>
          <w:rFonts w:ascii="Arial" w:hAnsi="Arial" w:cs="Arial"/>
        </w:rPr>
      </w:pPr>
      <w:r w:rsidRPr="0086466C">
        <w:rPr>
          <w:rFonts w:ascii="Arial" w:hAnsi="Arial" w:cs="Arial"/>
        </w:rPr>
        <w:t xml:space="preserve">Následující grafy </w:t>
      </w:r>
      <w:r w:rsidR="00283F6C" w:rsidRPr="0086466C">
        <w:rPr>
          <w:rFonts w:ascii="Arial" w:hAnsi="Arial" w:cs="Arial"/>
        </w:rPr>
        <w:t>25</w:t>
      </w:r>
      <w:r w:rsidRPr="0086466C">
        <w:rPr>
          <w:rFonts w:ascii="Arial" w:hAnsi="Arial" w:cs="Arial"/>
        </w:rPr>
        <w:t xml:space="preserve"> a </w:t>
      </w:r>
      <w:r w:rsidR="00E23545" w:rsidRPr="0086466C">
        <w:rPr>
          <w:rFonts w:ascii="Arial" w:hAnsi="Arial" w:cs="Arial"/>
        </w:rPr>
        <w:t>2</w:t>
      </w:r>
      <w:r w:rsidR="00283F6C" w:rsidRPr="0086466C">
        <w:rPr>
          <w:rFonts w:ascii="Arial" w:hAnsi="Arial" w:cs="Arial"/>
        </w:rPr>
        <w:t>6</w:t>
      </w:r>
      <w:r w:rsidRPr="0086466C">
        <w:rPr>
          <w:rFonts w:ascii="Arial" w:hAnsi="Arial" w:cs="Arial"/>
        </w:rPr>
        <w:t xml:space="preserve"> ukazují </w:t>
      </w:r>
      <w:r w:rsidRPr="0086466C">
        <w:rPr>
          <w:rFonts w:ascii="Arial" w:hAnsi="Arial" w:cs="Arial"/>
          <w:b/>
          <w:bCs/>
        </w:rPr>
        <w:t>konkrétní hodnoty vytvořené a udržené pro všechny ekonomické subjekty</w:t>
      </w:r>
      <w:r w:rsidRPr="0086466C">
        <w:rPr>
          <w:rFonts w:ascii="Arial" w:hAnsi="Arial" w:cs="Arial"/>
        </w:rPr>
        <w:t xml:space="preserve"> podle pozice v</w:t>
      </w:r>
      <w:r w:rsidR="002948A5" w:rsidRPr="0086466C">
        <w:rPr>
          <w:rFonts w:ascii="Arial" w:hAnsi="Arial" w:cs="Arial"/>
        </w:rPr>
        <w:t> </w:t>
      </w:r>
      <w:r w:rsidRPr="0086466C">
        <w:rPr>
          <w:rFonts w:ascii="Arial" w:hAnsi="Arial" w:cs="Arial"/>
        </w:rPr>
        <w:t>GPN</w:t>
      </w:r>
      <w:r w:rsidR="002948A5" w:rsidRPr="0086466C">
        <w:rPr>
          <w:rFonts w:ascii="Arial" w:hAnsi="Arial" w:cs="Arial"/>
        </w:rPr>
        <w:t>. Kromě bodového grafu je zde připojený i hvězdicový graf</w:t>
      </w:r>
      <w:r w:rsidR="0039295E" w:rsidRPr="0086466C">
        <w:rPr>
          <w:rFonts w:ascii="Arial" w:hAnsi="Arial" w:cs="Arial"/>
        </w:rPr>
        <w:t xml:space="preserve"> znázorňující rozptyl hodnot</w:t>
      </w:r>
      <w:r w:rsidR="002A38E4" w:rsidRPr="0086466C">
        <w:rPr>
          <w:rFonts w:ascii="Arial" w:hAnsi="Arial" w:cs="Arial"/>
        </w:rPr>
        <w:t xml:space="preserve">. Z něj je patrné, že </w:t>
      </w:r>
      <w:r w:rsidR="002A38E4" w:rsidRPr="0086466C">
        <w:rPr>
          <w:rFonts w:ascii="Arial" w:hAnsi="Arial" w:cs="Arial"/>
          <w:b/>
          <w:bCs/>
        </w:rPr>
        <w:t>hodnota vytvořená nabývá značně rozmanitějších hodnot s řádově vyšším rozptylem</w:t>
      </w:r>
      <w:r w:rsidR="002A38E4" w:rsidRPr="0086466C">
        <w:rPr>
          <w:rFonts w:ascii="Arial" w:hAnsi="Arial" w:cs="Arial"/>
        </w:rPr>
        <w:t xml:space="preserve"> než hodnota udržená, která se pohybuje </w:t>
      </w:r>
      <w:r w:rsidR="00C80B2D" w:rsidRPr="0086466C">
        <w:rPr>
          <w:rFonts w:ascii="Arial" w:hAnsi="Arial" w:cs="Arial"/>
        </w:rPr>
        <w:t xml:space="preserve">pro všechny ekonomické subjekty mezi </w:t>
      </w:r>
      <w:r w:rsidR="001C670B" w:rsidRPr="0086466C">
        <w:rPr>
          <w:rFonts w:ascii="Arial" w:hAnsi="Arial" w:cs="Arial"/>
        </w:rPr>
        <w:t xml:space="preserve">0 a </w:t>
      </w:r>
      <w:r w:rsidR="00EA5895" w:rsidRPr="0086466C">
        <w:rPr>
          <w:rFonts w:ascii="Arial" w:hAnsi="Arial" w:cs="Arial"/>
        </w:rPr>
        <w:t xml:space="preserve">+95. </w:t>
      </w:r>
      <w:r w:rsidR="00EA5895" w:rsidRPr="0086466C">
        <w:rPr>
          <w:rFonts w:ascii="Arial" w:hAnsi="Arial" w:cs="Arial"/>
          <w:b/>
          <w:bCs/>
        </w:rPr>
        <w:t>Hodnota vytvořená může být i záporná</w:t>
      </w:r>
      <w:r w:rsidR="00EA5895" w:rsidRPr="0086466C">
        <w:rPr>
          <w:rFonts w:ascii="Arial" w:hAnsi="Arial" w:cs="Arial"/>
        </w:rPr>
        <w:t xml:space="preserve"> (minimum = - 34,1) a nejvyšš</w:t>
      </w:r>
      <w:r w:rsidR="000F69A8" w:rsidRPr="0086466C">
        <w:rPr>
          <w:rFonts w:ascii="Arial" w:hAnsi="Arial" w:cs="Arial"/>
        </w:rPr>
        <w:t xml:space="preserve">í hodnota dosahuje téměř 600, ačkoliv je tato hodnota poměrně anomální. V grafu 18 </w:t>
      </w:r>
      <w:r w:rsidR="000F0E83" w:rsidRPr="0086466C">
        <w:rPr>
          <w:rFonts w:ascii="Arial" w:hAnsi="Arial" w:cs="Arial"/>
        </w:rPr>
        <w:t>je proto omezena horní hranice hodnot na 150</w:t>
      </w:r>
      <w:r w:rsidR="00083155" w:rsidRPr="0086466C">
        <w:rPr>
          <w:rFonts w:ascii="Arial" w:hAnsi="Arial" w:cs="Arial"/>
        </w:rPr>
        <w:t xml:space="preserve">, neboť tuto hranici přesahují pouze </w:t>
      </w:r>
      <w:r w:rsidR="00411FF0" w:rsidRPr="0086466C">
        <w:rPr>
          <w:rFonts w:ascii="Arial" w:hAnsi="Arial" w:cs="Arial"/>
        </w:rPr>
        <w:t xml:space="preserve">3 </w:t>
      </w:r>
      <w:r w:rsidR="00D545FB" w:rsidRPr="0086466C">
        <w:rPr>
          <w:rFonts w:ascii="Arial" w:hAnsi="Arial" w:cs="Arial"/>
        </w:rPr>
        <w:t>subjekty</w:t>
      </w:r>
      <w:r w:rsidR="00411FF0" w:rsidRPr="0086466C">
        <w:rPr>
          <w:rFonts w:ascii="Arial" w:hAnsi="Arial" w:cs="Arial"/>
        </w:rPr>
        <w:t>.</w:t>
      </w:r>
      <w:r w:rsidR="00D545FB" w:rsidRPr="0086466C">
        <w:rPr>
          <w:rFonts w:ascii="Arial" w:hAnsi="Arial" w:cs="Arial"/>
        </w:rPr>
        <w:t xml:space="preserve"> Hodnota udržená </w:t>
      </w:r>
      <w:r w:rsidR="00532D30" w:rsidRPr="0086466C">
        <w:rPr>
          <w:rFonts w:ascii="Arial" w:hAnsi="Arial" w:cs="Arial"/>
        </w:rPr>
        <w:t>je proti tomu méně rozptýlená a pro možnost porovnání je v grafu též nastavena horní hranice na hodnotě 150, ačkoliv ji žádný subjekt nepřekračuje.</w:t>
      </w:r>
    </w:p>
    <w:p w14:paraId="4451D196" w14:textId="43FD3876" w:rsidR="004628DE" w:rsidRPr="0086466C" w:rsidRDefault="004628DE" w:rsidP="00503594">
      <w:pPr>
        <w:spacing w:before="120" w:after="0"/>
        <w:jc w:val="both"/>
        <w:rPr>
          <w:rFonts w:ascii="Arial" w:hAnsi="Arial" w:cs="Arial"/>
        </w:rPr>
      </w:pPr>
      <w:r w:rsidRPr="0086466C">
        <w:rPr>
          <w:rFonts w:ascii="Arial" w:hAnsi="Arial" w:cs="Arial"/>
        </w:rPr>
        <w:t xml:space="preserve">Vzájemná </w:t>
      </w:r>
      <w:r w:rsidRPr="0086466C">
        <w:rPr>
          <w:rFonts w:ascii="Arial" w:hAnsi="Arial" w:cs="Arial"/>
          <w:b/>
          <w:bCs/>
        </w:rPr>
        <w:t>závislost mezi hodnotou vytvořenou a udrženou byla testována pomocí metod korelační analýzy</w:t>
      </w:r>
      <w:r w:rsidRPr="0086466C">
        <w:rPr>
          <w:rFonts w:ascii="Arial" w:hAnsi="Arial" w:cs="Arial"/>
        </w:rPr>
        <w:t xml:space="preserve">. </w:t>
      </w:r>
      <w:r w:rsidR="00B354E0" w:rsidRPr="0086466C">
        <w:rPr>
          <w:rFonts w:ascii="Arial" w:hAnsi="Arial" w:cs="Arial"/>
        </w:rPr>
        <w:t xml:space="preserve">Jako nejvhodnější vzhledem k charakteru dat (vysoký rozptyl hodnot, </w:t>
      </w:r>
      <w:r w:rsidR="00065D27" w:rsidRPr="0086466C">
        <w:rPr>
          <w:rFonts w:ascii="Arial" w:hAnsi="Arial" w:cs="Arial"/>
        </w:rPr>
        <w:t xml:space="preserve">nenormální distribuce, neprokázaná linearita) byl zvolen </w:t>
      </w:r>
      <w:proofErr w:type="spellStart"/>
      <w:r w:rsidR="00065D27" w:rsidRPr="0086466C">
        <w:rPr>
          <w:rFonts w:ascii="Arial" w:hAnsi="Arial" w:cs="Arial"/>
          <w:b/>
          <w:bCs/>
        </w:rPr>
        <w:t>Spearmanův</w:t>
      </w:r>
      <w:proofErr w:type="spellEnd"/>
      <w:r w:rsidR="00065D27" w:rsidRPr="0086466C">
        <w:rPr>
          <w:rFonts w:ascii="Arial" w:hAnsi="Arial" w:cs="Arial"/>
          <w:b/>
          <w:bCs/>
        </w:rPr>
        <w:t xml:space="preserve"> korelační koeficient</w:t>
      </w:r>
      <w:r w:rsidR="00065D27" w:rsidRPr="0086466C">
        <w:rPr>
          <w:rFonts w:ascii="Arial" w:hAnsi="Arial" w:cs="Arial"/>
        </w:rPr>
        <w:t>, který pracuje s</w:t>
      </w:r>
      <w:r w:rsidR="003D1818" w:rsidRPr="0086466C">
        <w:rPr>
          <w:rFonts w:ascii="Arial" w:hAnsi="Arial" w:cs="Arial"/>
        </w:rPr>
        <w:t xml:space="preserve"> pořadovými hodnotami (</w:t>
      </w:r>
      <w:proofErr w:type="spellStart"/>
      <w:r w:rsidR="003D1818" w:rsidRPr="0086466C">
        <w:rPr>
          <w:rFonts w:ascii="Arial" w:hAnsi="Arial" w:cs="Arial"/>
        </w:rPr>
        <w:t>rankingem</w:t>
      </w:r>
      <w:proofErr w:type="spellEnd"/>
      <w:r w:rsidR="003D1818" w:rsidRPr="0086466C">
        <w:rPr>
          <w:rFonts w:ascii="Arial" w:hAnsi="Arial" w:cs="Arial"/>
        </w:rPr>
        <w:t xml:space="preserve">) a je díky tomu robustní vůči extrémním hodnotám v testovaném souboru. </w:t>
      </w:r>
      <w:proofErr w:type="spellStart"/>
      <w:r w:rsidR="00FF3458" w:rsidRPr="0086466C">
        <w:rPr>
          <w:rFonts w:ascii="Arial" w:hAnsi="Arial" w:cs="Arial"/>
        </w:rPr>
        <w:t>Spearmanův</w:t>
      </w:r>
      <w:proofErr w:type="spellEnd"/>
      <w:r w:rsidR="00FF3458" w:rsidRPr="0086466C">
        <w:rPr>
          <w:rFonts w:ascii="Arial" w:hAnsi="Arial" w:cs="Arial"/>
        </w:rPr>
        <w:t xml:space="preserve"> korelační koeficient testuje</w:t>
      </w:r>
      <w:r w:rsidR="00E30EC9" w:rsidRPr="0086466C">
        <w:rPr>
          <w:rFonts w:ascii="Arial" w:hAnsi="Arial" w:cs="Arial"/>
        </w:rPr>
        <w:t>, zda mezi dvěma proměnnými existuje monotónní vztah, kdy se hodnoty jedné proměnné konzistentně zvyšují nebo snižují s hodnotami druhé proměnné a nemusí se jednat o lineární závislost.</w:t>
      </w:r>
    </w:p>
    <w:p w14:paraId="5D774B0D" w14:textId="510D4BD7" w:rsidR="001642CF" w:rsidRPr="0086466C" w:rsidRDefault="001642CF" w:rsidP="00503594">
      <w:pPr>
        <w:spacing w:before="120" w:after="0"/>
        <w:jc w:val="both"/>
        <w:rPr>
          <w:rFonts w:ascii="Arial" w:hAnsi="Arial" w:cs="Arial"/>
        </w:rPr>
      </w:pPr>
      <w:r w:rsidRPr="0086466C">
        <w:rPr>
          <w:rFonts w:ascii="Arial" w:hAnsi="Arial" w:cs="Arial"/>
        </w:rPr>
        <w:t xml:space="preserve">Pomocí </w:t>
      </w:r>
      <w:proofErr w:type="spellStart"/>
      <w:r w:rsidRPr="0086466C">
        <w:rPr>
          <w:rFonts w:ascii="Arial" w:hAnsi="Arial" w:cs="Arial"/>
        </w:rPr>
        <w:t>Spearmanova</w:t>
      </w:r>
      <w:proofErr w:type="spellEnd"/>
      <w:r w:rsidRPr="0086466C">
        <w:rPr>
          <w:rFonts w:ascii="Arial" w:hAnsi="Arial" w:cs="Arial"/>
        </w:rPr>
        <w:t xml:space="preserve"> k</w:t>
      </w:r>
      <w:r w:rsidR="000E14C3" w:rsidRPr="0086466C">
        <w:rPr>
          <w:rFonts w:ascii="Arial" w:hAnsi="Arial" w:cs="Arial"/>
        </w:rPr>
        <w:t>o</w:t>
      </w:r>
      <w:r w:rsidRPr="0086466C">
        <w:rPr>
          <w:rFonts w:ascii="Arial" w:hAnsi="Arial" w:cs="Arial"/>
        </w:rPr>
        <w:t xml:space="preserve">relačního </w:t>
      </w:r>
      <w:r w:rsidR="00DC00AE" w:rsidRPr="0086466C">
        <w:rPr>
          <w:rFonts w:ascii="Arial" w:hAnsi="Arial" w:cs="Arial"/>
        </w:rPr>
        <w:t xml:space="preserve">koeficientu </w:t>
      </w:r>
      <w:r w:rsidR="000E14C3" w:rsidRPr="0086466C">
        <w:rPr>
          <w:rFonts w:ascii="Arial" w:hAnsi="Arial" w:cs="Arial"/>
        </w:rPr>
        <w:t>byla testována hypotéza</w:t>
      </w:r>
      <w:r w:rsidR="00692DB9" w:rsidRPr="0086466C">
        <w:rPr>
          <w:rFonts w:ascii="Arial" w:hAnsi="Arial" w:cs="Arial"/>
        </w:rPr>
        <w:t xml:space="preserve"> </w:t>
      </w:r>
      <w:r w:rsidR="00692DB9" w:rsidRPr="0086466C">
        <w:rPr>
          <w:rFonts w:ascii="Arial" w:hAnsi="Arial" w:cs="Arial"/>
          <w:i/>
          <w:iCs/>
        </w:rPr>
        <w:t>H0</w:t>
      </w:r>
      <w:r w:rsidR="000E14C3" w:rsidRPr="0086466C">
        <w:rPr>
          <w:rFonts w:ascii="Arial" w:hAnsi="Arial" w:cs="Arial"/>
          <w:i/>
          <w:iCs/>
        </w:rPr>
        <w:t xml:space="preserve">: Hodnota vytvořená </w:t>
      </w:r>
      <w:r w:rsidR="00692DB9" w:rsidRPr="0086466C">
        <w:rPr>
          <w:rFonts w:ascii="Arial" w:hAnsi="Arial" w:cs="Arial"/>
          <w:i/>
          <w:iCs/>
        </w:rPr>
        <w:t>je závislá na hodnotě udržené</w:t>
      </w:r>
      <w:r w:rsidR="00692DB9" w:rsidRPr="0086466C">
        <w:rPr>
          <w:rFonts w:ascii="Arial" w:hAnsi="Arial" w:cs="Arial"/>
        </w:rPr>
        <w:t>.</w:t>
      </w:r>
      <w:r w:rsidR="004933BF" w:rsidRPr="0086466C">
        <w:rPr>
          <w:rFonts w:ascii="Arial" w:hAnsi="Arial" w:cs="Arial"/>
        </w:rPr>
        <w:t xml:space="preserve"> Aby byla testovaná hypotéza přijata,</w:t>
      </w:r>
      <w:r w:rsidR="00AA15E3" w:rsidRPr="0086466C">
        <w:rPr>
          <w:rFonts w:ascii="Arial" w:hAnsi="Arial" w:cs="Arial"/>
        </w:rPr>
        <w:t xml:space="preserve"> musel by</w:t>
      </w:r>
      <w:r w:rsidR="00CD512C" w:rsidRPr="0086466C">
        <w:rPr>
          <w:rFonts w:ascii="Arial" w:hAnsi="Arial" w:cs="Arial"/>
        </w:rPr>
        <w:t xml:space="preserve"> </w:t>
      </w:r>
      <w:r w:rsidR="00AA15E3" w:rsidRPr="0086466C">
        <w:rPr>
          <w:rFonts w:ascii="Arial" w:hAnsi="Arial" w:cs="Arial"/>
        </w:rPr>
        <w:t xml:space="preserve">mezi testovanými hodnotami existovat monotónní vztah a </w:t>
      </w:r>
      <w:r w:rsidR="00CD512C" w:rsidRPr="0086466C">
        <w:rPr>
          <w:rFonts w:ascii="Arial" w:hAnsi="Arial" w:cs="Arial"/>
        </w:rPr>
        <w:t xml:space="preserve">hodnota </w:t>
      </w:r>
      <w:r w:rsidR="00DC00AE" w:rsidRPr="0086466C">
        <w:rPr>
          <w:rFonts w:ascii="Arial" w:hAnsi="Arial" w:cs="Arial"/>
        </w:rPr>
        <w:t xml:space="preserve">koeficientu </w:t>
      </w:r>
      <w:r w:rsidR="0082739C" w:rsidRPr="0086466C">
        <w:rPr>
          <w:rFonts w:ascii="Arial" w:hAnsi="Arial" w:cs="Arial"/>
        </w:rPr>
        <w:t>by se</w:t>
      </w:r>
      <w:r w:rsidR="00AA15E3" w:rsidRPr="0086466C">
        <w:rPr>
          <w:rFonts w:ascii="Arial" w:hAnsi="Arial" w:cs="Arial"/>
        </w:rPr>
        <w:t xml:space="preserve"> v takovém případě</w:t>
      </w:r>
      <w:r w:rsidR="0082739C" w:rsidRPr="0086466C">
        <w:rPr>
          <w:rFonts w:ascii="Arial" w:hAnsi="Arial" w:cs="Arial"/>
        </w:rPr>
        <w:t xml:space="preserve"> limitně blíži</w:t>
      </w:r>
      <w:r w:rsidR="00AA15E3" w:rsidRPr="0086466C">
        <w:rPr>
          <w:rFonts w:ascii="Arial" w:hAnsi="Arial" w:cs="Arial"/>
        </w:rPr>
        <w:t>la</w:t>
      </w:r>
      <w:r w:rsidR="0082739C" w:rsidRPr="0086466C">
        <w:rPr>
          <w:rFonts w:ascii="Arial" w:hAnsi="Arial" w:cs="Arial"/>
        </w:rPr>
        <w:t xml:space="preserve"> 1 či -1</w:t>
      </w:r>
      <w:r w:rsidR="00AA15E3" w:rsidRPr="0086466C">
        <w:rPr>
          <w:rFonts w:ascii="Arial" w:hAnsi="Arial" w:cs="Arial"/>
        </w:rPr>
        <w:t>.</w:t>
      </w:r>
      <w:r w:rsidR="004933BF" w:rsidRPr="0086466C">
        <w:rPr>
          <w:rFonts w:ascii="Arial" w:hAnsi="Arial" w:cs="Arial"/>
        </w:rPr>
        <w:t xml:space="preserve"> Korelační analýza však tuto hypotézu zcela vyvrátila</w:t>
      </w:r>
      <w:r w:rsidR="00C80F51" w:rsidRPr="0086466C">
        <w:rPr>
          <w:rFonts w:ascii="Arial" w:hAnsi="Arial" w:cs="Arial"/>
        </w:rPr>
        <w:t>. n</w:t>
      </w:r>
      <w:r w:rsidR="00AA15E3" w:rsidRPr="0086466C">
        <w:rPr>
          <w:rFonts w:ascii="Arial" w:hAnsi="Arial" w:cs="Arial"/>
        </w:rPr>
        <w:t xml:space="preserve">eboť </w:t>
      </w:r>
      <w:r w:rsidR="005230BF" w:rsidRPr="0086466C">
        <w:rPr>
          <w:rFonts w:ascii="Arial" w:hAnsi="Arial" w:cs="Arial"/>
        </w:rPr>
        <w:t xml:space="preserve">se </w:t>
      </w:r>
      <w:proofErr w:type="spellStart"/>
      <w:r w:rsidR="00AA15E3" w:rsidRPr="0086466C">
        <w:rPr>
          <w:rFonts w:ascii="Arial" w:hAnsi="Arial" w:cs="Arial"/>
        </w:rPr>
        <w:t>Spearmanův</w:t>
      </w:r>
      <w:proofErr w:type="spellEnd"/>
      <w:r w:rsidR="00AA15E3" w:rsidRPr="0086466C">
        <w:rPr>
          <w:rFonts w:ascii="Arial" w:hAnsi="Arial" w:cs="Arial"/>
        </w:rPr>
        <w:t xml:space="preserve"> koeficient blížil </w:t>
      </w:r>
      <w:r w:rsidR="00C80F51" w:rsidRPr="0086466C">
        <w:rPr>
          <w:rFonts w:ascii="Arial" w:hAnsi="Arial" w:cs="Arial"/>
        </w:rPr>
        <w:t>0.</w:t>
      </w:r>
      <w:r w:rsidR="005230BF" w:rsidRPr="0086466C">
        <w:rPr>
          <w:rFonts w:ascii="Arial" w:hAnsi="Arial" w:cs="Arial"/>
        </w:rPr>
        <w:t xml:space="preserve"> </w:t>
      </w:r>
      <w:r w:rsidR="005230BF" w:rsidRPr="0086466C">
        <w:rPr>
          <w:rFonts w:ascii="Arial" w:hAnsi="Arial" w:cs="Arial"/>
          <w:b/>
          <w:bCs/>
        </w:rPr>
        <w:t xml:space="preserve">Nelze tedy prokázat </w:t>
      </w:r>
      <w:r w:rsidR="00710B68" w:rsidRPr="0086466C">
        <w:rPr>
          <w:rFonts w:ascii="Arial" w:hAnsi="Arial" w:cs="Arial"/>
          <w:b/>
          <w:bCs/>
        </w:rPr>
        <w:t>korelaci</w:t>
      </w:r>
      <w:r w:rsidR="005230BF" w:rsidRPr="0086466C">
        <w:rPr>
          <w:rFonts w:ascii="Arial" w:hAnsi="Arial" w:cs="Arial"/>
          <w:b/>
          <w:bCs/>
        </w:rPr>
        <w:t xml:space="preserve"> mezi hodnotou vytvořenou a udrženou</w:t>
      </w:r>
      <w:r w:rsidR="005230BF" w:rsidRPr="0086466C">
        <w:rPr>
          <w:rFonts w:ascii="Arial" w:hAnsi="Arial" w:cs="Arial"/>
        </w:rPr>
        <w:t xml:space="preserve">. </w:t>
      </w:r>
      <w:r w:rsidR="00C56925" w:rsidRPr="0086466C">
        <w:rPr>
          <w:rFonts w:ascii="Arial" w:hAnsi="Arial" w:cs="Arial"/>
        </w:rPr>
        <w:t xml:space="preserve">Graficky je možné to vyjádřit pomocí bodového grafu </w:t>
      </w:r>
      <w:r w:rsidR="00F43233" w:rsidRPr="0086466C">
        <w:rPr>
          <w:rFonts w:ascii="Arial" w:hAnsi="Arial" w:cs="Arial"/>
        </w:rPr>
        <w:t>2</w:t>
      </w:r>
      <w:r w:rsidR="00283F6C" w:rsidRPr="0086466C">
        <w:rPr>
          <w:rFonts w:ascii="Arial" w:hAnsi="Arial" w:cs="Arial"/>
        </w:rPr>
        <w:t>7</w:t>
      </w:r>
      <w:r w:rsidR="00F43233" w:rsidRPr="0086466C">
        <w:rPr>
          <w:rFonts w:ascii="Arial" w:hAnsi="Arial" w:cs="Arial"/>
        </w:rPr>
        <w:t xml:space="preserve">, </w:t>
      </w:r>
      <w:r w:rsidR="00710B68" w:rsidRPr="0086466C">
        <w:rPr>
          <w:rFonts w:ascii="Arial" w:hAnsi="Arial" w:cs="Arial"/>
        </w:rPr>
        <w:t>kde je dobře ilustrovaný rozptyl hodnot</w:t>
      </w:r>
      <w:r w:rsidR="00BC6EF2" w:rsidRPr="0086466C">
        <w:rPr>
          <w:rFonts w:ascii="Arial" w:hAnsi="Arial" w:cs="Arial"/>
        </w:rPr>
        <w:t xml:space="preserve"> hodnoty vytvořené a udržené pro všechny ekonomické subjekty</w:t>
      </w:r>
      <w:r w:rsidR="0071719D" w:rsidRPr="0086466C">
        <w:rPr>
          <w:rFonts w:ascii="Arial" w:hAnsi="Arial" w:cs="Arial"/>
        </w:rPr>
        <w:t>.</w:t>
      </w:r>
      <w:r w:rsidR="009D715B" w:rsidRPr="0086466C">
        <w:rPr>
          <w:rFonts w:ascii="Arial" w:hAnsi="Arial" w:cs="Arial"/>
        </w:rPr>
        <w:t xml:space="preserve"> </w:t>
      </w:r>
    </w:p>
    <w:p w14:paraId="31C9D90C" w14:textId="77777777" w:rsidR="00656278" w:rsidRPr="0086466C" w:rsidRDefault="00656278" w:rsidP="00503594">
      <w:pPr>
        <w:spacing w:before="120" w:after="0"/>
        <w:jc w:val="both"/>
        <w:rPr>
          <w:rFonts w:ascii="Arial" w:hAnsi="Arial" w:cs="Arial"/>
        </w:rPr>
      </w:pPr>
    </w:p>
    <w:p w14:paraId="4F8A3F7D" w14:textId="77777777" w:rsidR="00101888" w:rsidRPr="0086466C" w:rsidRDefault="00101888" w:rsidP="00503594">
      <w:pPr>
        <w:spacing w:before="120" w:after="0"/>
        <w:jc w:val="both"/>
        <w:rPr>
          <w:rFonts w:ascii="Arial" w:hAnsi="Arial" w:cs="Arial"/>
        </w:rPr>
        <w:sectPr w:rsidR="00101888" w:rsidRPr="0086466C">
          <w:footerReference w:type="default" r:id="rId24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59BCFA67" w14:textId="77777777" w:rsidR="00656278" w:rsidRPr="0086466C" w:rsidRDefault="00656278" w:rsidP="00503594">
      <w:pPr>
        <w:spacing w:before="120" w:after="0"/>
        <w:jc w:val="both"/>
        <w:rPr>
          <w:rFonts w:ascii="Arial" w:hAnsi="Arial" w:cs="Arial"/>
        </w:rPr>
      </w:pPr>
      <w:r w:rsidRPr="0086466C">
        <w:rPr>
          <w:rFonts w:ascii="Arial" w:hAnsi="Arial" w:cs="Arial"/>
          <w:noProof/>
        </w:rPr>
        <w:lastRenderedPageBreak/>
        <w:drawing>
          <wp:anchor distT="0" distB="0" distL="114300" distR="114300" simplePos="0" relativeHeight="251658243" behindDoc="0" locked="0" layoutInCell="1" allowOverlap="1" wp14:anchorId="5807C0CE" wp14:editId="093BE2C3">
            <wp:simplePos x="0" y="0"/>
            <wp:positionH relativeFrom="column">
              <wp:posOffset>3957955</wp:posOffset>
            </wp:positionH>
            <wp:positionV relativeFrom="paragraph">
              <wp:posOffset>4529455</wp:posOffset>
            </wp:positionV>
            <wp:extent cx="1524000" cy="1573105"/>
            <wp:effectExtent l="0" t="0" r="0" b="8255"/>
            <wp:wrapNone/>
            <wp:docPr id="1833126749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5731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6466C">
        <w:rPr>
          <w:rFonts w:ascii="Arial" w:hAnsi="Arial" w:cs="Arial"/>
          <w:noProof/>
        </w:rPr>
        <w:drawing>
          <wp:anchor distT="0" distB="0" distL="114300" distR="114300" simplePos="0" relativeHeight="251658242" behindDoc="0" locked="0" layoutInCell="1" allowOverlap="1" wp14:anchorId="6FBB5166" wp14:editId="1AE9DC56">
            <wp:simplePos x="0" y="0"/>
            <wp:positionH relativeFrom="column">
              <wp:posOffset>3967480</wp:posOffset>
            </wp:positionH>
            <wp:positionV relativeFrom="paragraph">
              <wp:posOffset>347980</wp:posOffset>
            </wp:positionV>
            <wp:extent cx="1480185" cy="1485900"/>
            <wp:effectExtent l="0" t="0" r="5715" b="0"/>
            <wp:wrapNone/>
            <wp:docPr id="784500517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0185" cy="1485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6466C"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454B05EF" wp14:editId="2195C69E">
                <wp:simplePos x="0" y="0"/>
                <wp:positionH relativeFrom="column">
                  <wp:posOffset>3910330</wp:posOffset>
                </wp:positionH>
                <wp:positionV relativeFrom="paragraph">
                  <wp:posOffset>119380</wp:posOffset>
                </wp:positionV>
                <wp:extent cx="1695450" cy="257175"/>
                <wp:effectExtent l="0" t="0" r="0" b="9525"/>
                <wp:wrapNone/>
                <wp:docPr id="221418798" name="Textové po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95450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DEBA756" w14:textId="1BD2635B" w:rsidR="007922D7" w:rsidRPr="00291924" w:rsidRDefault="007922D7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291924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Rozptyl ho</w:t>
                            </w:r>
                            <w:r w:rsidR="00823139" w:rsidRPr="00291924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dnoty vytvořené</w:t>
                            </w:r>
                            <w:r w:rsidR="00AD094F" w:rsidRPr="00291924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4B05EF" id="Textové pole 3" o:spid="_x0000_s1028" type="#_x0000_t202" style="position:absolute;left:0;text-align:left;margin-left:307.9pt;margin-top:9.4pt;width:133.5pt;height:20.2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/U0OLgIAAFsEAAAOAAAAZHJzL2Uyb0RvYy54bWysVEtv2zAMvg/YfxB0X5xkebRGnCJLkWFA&#10;0BZIh54VWYoFyKImKbGzXz9KzmvdTsMuMilSfHz86NlDW2tyEM4rMAUd9PqUCMOhVGZX0O+vq093&#10;lPjATMk0GFHQo/D0Yf7xw6yxuRhCBboUjmAQ4/PGFrQKweZZ5nklauZ7YIVBowRXs4Cq22WlYw1G&#10;r3U27PcnWQOutA648B5vHzsjnaf4UgoenqX0IhBdUKwtpNOlcxvPbD5j+c4xWyl+KoP9QxU1UwaT&#10;XkI9ssDI3qk/QtWKO/AgQ49DnYGUiovUA3Yz6L/rZlMxK1IvCI63F5j8/wvLnw4b++JIaL9AiwOM&#10;gDTW5x4vYz+tdHX8YqUE7Qjh8QKbaAPh8dHkfjwao4mjbTieDqbjGCa7vrbOh68CahKFgjocS0KL&#10;HdY+dK5nl5jMg1blSmmdlEgFsdSOHBgOUYdUIwb/zUsb0hR08hnLiI8MxOddZG2wlmtPUQrttiWq&#10;xGrP/W6hPCIMDjqGeMtXCmtdMx9emENKYHtI8/CMh9SAueAkUVKB+/m3++iPk0IrJQ1SrKD+x545&#10;QYn+ZnCG94PRKHIyKaPxdIiKu7Vsby1mXy8BARjgQlmexOgf9FmUDuo33IZFzIomZjjmLmg4i8vQ&#10;ER+3iYvFIjkhCy0La7OxPIaO2MVJvLZvzNnTuAIO+gnOZGT5u6l1vh3qi30AqdJII84dqif4kcGJ&#10;FKdtiytyqyev6z9h/gsAAP//AwBQSwMEFAAGAAgAAAAhAEueMnjgAAAACQEAAA8AAABkcnMvZG93&#10;bnJldi54bWxMj09Pg0AQxe8mfofNmHgx7dISKiJLY4x/kt4sVeNty45AZGcJuwX89o4nPc1M3sub&#10;38u3s+3EiINvHSlYLSMQSJUzLdUKDuXjIgXhgyajO0eo4Bs9bIvzs1xnxk30guM+1IJDyGdaQRNC&#10;n0npqwat9kvXI7H26QarA59DLc2gJw63nVxH0UZa3RJ/aHSP9w1WX/uTVfBxVb/v/Pz0OsVJ3D88&#10;j+X1mymVuryY725BBJzDnxl+8RkdCmY6uhMZLzoFm1XC6IGFlCcb0nTNy1FBchODLHL5v0HxAwAA&#10;//8DAFBLAQItABQABgAIAAAAIQC2gziS/gAAAOEBAAATAAAAAAAAAAAAAAAAAAAAAABbQ29udGVu&#10;dF9UeXBlc10ueG1sUEsBAi0AFAAGAAgAAAAhADj9If/WAAAAlAEAAAsAAAAAAAAAAAAAAAAALwEA&#10;AF9yZWxzLy5yZWxzUEsBAi0AFAAGAAgAAAAhAL/9TQ4uAgAAWwQAAA4AAAAAAAAAAAAAAAAALgIA&#10;AGRycy9lMm9Eb2MueG1sUEsBAi0AFAAGAAgAAAAhAEueMnjgAAAACQEAAA8AAAAAAAAAAAAAAAAA&#10;iAQAAGRycy9kb3ducmV2LnhtbFBLBQYAAAAABAAEAPMAAACVBQAAAAA=&#10;" fillcolor="white [3201]" stroked="f" strokeweight=".5pt">
                <v:textbox>
                  <w:txbxContent>
                    <w:p w14:paraId="7DEBA756" w14:textId="1BD2635B" w:rsidR="007922D7" w:rsidRPr="00291924" w:rsidRDefault="007922D7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291924">
                        <w:rPr>
                          <w:rFonts w:ascii="Arial" w:hAnsi="Arial" w:cs="Arial"/>
                          <w:sz w:val="18"/>
                          <w:szCs w:val="18"/>
                        </w:rPr>
                        <w:t>Rozptyl ho</w:t>
                      </w:r>
                      <w:r w:rsidR="00823139" w:rsidRPr="00291924">
                        <w:rPr>
                          <w:rFonts w:ascii="Arial" w:hAnsi="Arial" w:cs="Arial"/>
                          <w:sz w:val="18"/>
                          <w:szCs w:val="18"/>
                        </w:rPr>
                        <w:t>dnoty vytvořené</w:t>
                      </w:r>
                      <w:r w:rsidR="00AD094F" w:rsidRPr="00291924">
                        <w:rPr>
                          <w:rFonts w:ascii="Arial" w:hAnsi="Arial" w:cs="Arial"/>
                          <w:sz w:val="18"/>
                          <w:szCs w:val="18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 w:rsidR="00761481" w:rsidRPr="0086466C">
        <w:rPr>
          <w:noProof/>
        </w:rPr>
        <w:drawing>
          <wp:inline distT="0" distB="0" distL="0" distR="0" wp14:anchorId="027DAF25" wp14:editId="759935DC">
            <wp:extent cx="5715000" cy="4152900"/>
            <wp:effectExtent l="0" t="0" r="0" b="0"/>
            <wp:docPr id="182337588" name="Graf 1">
              <a:extLst xmlns:a="http://schemas.openxmlformats.org/drawingml/2006/main">
                <a:ext uri="{FF2B5EF4-FFF2-40B4-BE49-F238E27FC236}">
                  <a16:creationId xmlns:a16="http://schemas.microsoft.com/office/drawing/2014/main" id="{687B52F7-F6D0-408D-B00A-4B2A1F39C64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inline>
        </w:drawing>
      </w:r>
      <w:r w:rsidR="00761481" w:rsidRPr="0086466C">
        <w:rPr>
          <w:noProof/>
        </w:rPr>
        <w:drawing>
          <wp:inline distT="0" distB="0" distL="0" distR="0" wp14:anchorId="767B6F51" wp14:editId="3DED5E63">
            <wp:extent cx="5715000" cy="4324350"/>
            <wp:effectExtent l="0" t="0" r="0" b="0"/>
            <wp:docPr id="1289473378" name="Graf 2">
              <a:extLst xmlns:a="http://schemas.openxmlformats.org/drawingml/2006/main">
                <a:ext uri="{FF2B5EF4-FFF2-40B4-BE49-F238E27FC236}">
                  <a16:creationId xmlns:a16="http://schemas.microsoft.com/office/drawing/2014/main" id="{9FD17483-944F-4951-B510-A89845B51C1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inline>
        </w:drawing>
      </w:r>
    </w:p>
    <w:p w14:paraId="2AE59975" w14:textId="77777777" w:rsidR="00656278" w:rsidRPr="0086466C" w:rsidRDefault="00656278" w:rsidP="00503594">
      <w:pPr>
        <w:spacing w:before="120" w:after="0"/>
        <w:jc w:val="both"/>
        <w:rPr>
          <w:rFonts w:ascii="Arial" w:hAnsi="Arial" w:cs="Arial"/>
        </w:rPr>
      </w:pPr>
    </w:p>
    <w:p w14:paraId="44B36FA8" w14:textId="77777777" w:rsidR="00656278" w:rsidRPr="0086466C" w:rsidRDefault="00656278" w:rsidP="00503594">
      <w:pPr>
        <w:spacing w:before="120" w:after="0"/>
        <w:jc w:val="both"/>
        <w:rPr>
          <w:rFonts w:ascii="Arial" w:hAnsi="Arial" w:cs="Arial"/>
        </w:rPr>
        <w:sectPr w:rsidR="00656278" w:rsidRPr="0086466C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1ACD603C" w14:textId="2C04CB69" w:rsidR="0071719D" w:rsidRPr="0086466C" w:rsidRDefault="0071719D" w:rsidP="00101888">
      <w:pPr>
        <w:spacing w:before="120" w:after="0"/>
        <w:jc w:val="both"/>
        <w:rPr>
          <w:rFonts w:ascii="Arial" w:hAnsi="Arial" w:cs="Arial"/>
        </w:rPr>
      </w:pPr>
      <w:r w:rsidRPr="0086466C">
        <w:rPr>
          <w:noProof/>
        </w:rPr>
        <w:lastRenderedPageBreak/>
        <w:drawing>
          <wp:inline distT="0" distB="0" distL="0" distR="0" wp14:anchorId="4EFC5415" wp14:editId="2B148B1D">
            <wp:extent cx="5760720" cy="3476625"/>
            <wp:effectExtent l="0" t="0" r="11430" b="9525"/>
            <wp:docPr id="367347084" name="Graf 1">
              <a:extLst xmlns:a="http://schemas.openxmlformats.org/drawingml/2006/main">
                <a:ext uri="{FF2B5EF4-FFF2-40B4-BE49-F238E27FC236}">
                  <a16:creationId xmlns:a16="http://schemas.microsoft.com/office/drawing/2014/main" id="{27CBAA6F-CC5E-4927-947C-A2BE9A8CB0D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</wp:inline>
        </w:drawing>
      </w:r>
    </w:p>
    <w:p w14:paraId="018C6A17" w14:textId="7FDADBE7" w:rsidR="00101888" w:rsidRPr="0086466C" w:rsidRDefault="00001E37" w:rsidP="00101888">
      <w:pPr>
        <w:spacing w:before="120" w:after="0"/>
        <w:jc w:val="both"/>
        <w:rPr>
          <w:rFonts w:ascii="Arial" w:hAnsi="Arial" w:cs="Arial"/>
        </w:rPr>
      </w:pPr>
      <w:r w:rsidRPr="0086466C">
        <w:rPr>
          <w:rFonts w:ascii="Arial" w:hAnsi="Arial" w:cs="Arial"/>
        </w:rPr>
        <w:t xml:space="preserve">Z důvodu neprokázání korelace mezi hodnotou vytvořenou a udrženou byly analyzovány i jednotlivé složky obou ukazatelů. </w:t>
      </w:r>
      <w:r w:rsidR="00101888" w:rsidRPr="0086466C">
        <w:rPr>
          <w:rFonts w:ascii="Arial" w:hAnsi="Arial" w:cs="Arial"/>
        </w:rPr>
        <w:t xml:space="preserve">Při podrobnějším pohledu na jednotlivé složky hodnoty vytvořené a udržené v grafech </w:t>
      </w:r>
      <w:r w:rsidR="00B60ADF" w:rsidRPr="0086466C">
        <w:rPr>
          <w:rFonts w:ascii="Arial" w:hAnsi="Arial" w:cs="Arial"/>
        </w:rPr>
        <w:t>2</w:t>
      </w:r>
      <w:r w:rsidR="00283F6C" w:rsidRPr="0086466C">
        <w:rPr>
          <w:rFonts w:ascii="Arial" w:hAnsi="Arial" w:cs="Arial"/>
        </w:rPr>
        <w:t>8</w:t>
      </w:r>
      <w:r w:rsidR="00101888" w:rsidRPr="0086466C">
        <w:rPr>
          <w:rFonts w:ascii="Arial" w:hAnsi="Arial" w:cs="Arial"/>
        </w:rPr>
        <w:t xml:space="preserve"> a </w:t>
      </w:r>
      <w:r w:rsidR="00B60ADF" w:rsidRPr="0086466C">
        <w:rPr>
          <w:rFonts w:ascii="Arial" w:hAnsi="Arial" w:cs="Arial"/>
        </w:rPr>
        <w:t>2</w:t>
      </w:r>
      <w:r w:rsidR="00283F6C" w:rsidRPr="0086466C">
        <w:rPr>
          <w:rFonts w:ascii="Arial" w:hAnsi="Arial" w:cs="Arial"/>
        </w:rPr>
        <w:t>9</w:t>
      </w:r>
      <w:r w:rsidR="00101888" w:rsidRPr="0086466C">
        <w:rPr>
          <w:rFonts w:ascii="Arial" w:hAnsi="Arial" w:cs="Arial"/>
        </w:rPr>
        <w:t xml:space="preserve"> je vidět průměrný podíl</w:t>
      </w:r>
      <w:r w:rsidR="00CA7577" w:rsidRPr="0086466C">
        <w:rPr>
          <w:rFonts w:ascii="Arial" w:hAnsi="Arial" w:cs="Arial"/>
        </w:rPr>
        <w:t xml:space="preserve"> hodnot</w:t>
      </w:r>
      <w:r w:rsidR="00101888" w:rsidRPr="0086466C">
        <w:rPr>
          <w:rFonts w:ascii="Arial" w:hAnsi="Arial" w:cs="Arial"/>
        </w:rPr>
        <w:t xml:space="preserve"> těchto složek na celkové hodnotě, která je zde udávaná v tis. Kč, nikoliv v relativních hodnotách jako v tabulce 7. </w:t>
      </w:r>
    </w:p>
    <w:p w14:paraId="02CEB5EC" w14:textId="4A2CB3E4" w:rsidR="00101888" w:rsidRPr="0086466C" w:rsidRDefault="00101888" w:rsidP="00101888">
      <w:pPr>
        <w:spacing w:before="120" w:after="0"/>
        <w:jc w:val="both"/>
        <w:rPr>
          <w:rFonts w:ascii="Arial" w:hAnsi="Arial" w:cs="Arial"/>
        </w:rPr>
      </w:pPr>
      <w:r w:rsidRPr="0086466C">
        <w:rPr>
          <w:rFonts w:ascii="Arial" w:hAnsi="Arial" w:cs="Arial"/>
        </w:rPr>
        <w:t xml:space="preserve">U </w:t>
      </w:r>
      <w:r w:rsidRPr="0086466C">
        <w:rPr>
          <w:rFonts w:ascii="Arial" w:hAnsi="Arial" w:cs="Arial"/>
          <w:b/>
          <w:bCs/>
        </w:rPr>
        <w:t>vedoucích firem</w:t>
      </w:r>
      <w:r w:rsidRPr="0086466C">
        <w:rPr>
          <w:rFonts w:ascii="Arial" w:hAnsi="Arial" w:cs="Arial"/>
        </w:rPr>
        <w:t xml:space="preserve"> tvoří největší složku vytvořené hodnoty </w:t>
      </w:r>
      <w:r w:rsidRPr="0086466C">
        <w:rPr>
          <w:rFonts w:ascii="Arial" w:hAnsi="Arial" w:cs="Arial"/>
          <w:b/>
          <w:bCs/>
        </w:rPr>
        <w:t>medián obratu za sledované období</w:t>
      </w:r>
      <w:r w:rsidRPr="0086466C">
        <w:rPr>
          <w:rFonts w:ascii="Arial" w:hAnsi="Arial" w:cs="Arial"/>
        </w:rPr>
        <w:t xml:space="preserve">. Naopak podíl zisku před zdaněním k obratu byl záporný, protože po většinu sledovaného období byly ES v pozici integrátorů ve ztrátě. Z toho pak také vyplývá i </w:t>
      </w:r>
      <w:r w:rsidRPr="0086466C">
        <w:rPr>
          <w:rFonts w:ascii="Arial" w:hAnsi="Arial" w:cs="Arial"/>
          <w:b/>
          <w:bCs/>
        </w:rPr>
        <w:t>nulová vyplacená daň z příjmu</w:t>
      </w:r>
      <w:r w:rsidRPr="0086466C">
        <w:rPr>
          <w:rFonts w:ascii="Arial" w:hAnsi="Arial" w:cs="Arial"/>
        </w:rPr>
        <w:t xml:space="preserve"> (viz hodnota udržená v grafu </w:t>
      </w:r>
      <w:r w:rsidR="00283F6C" w:rsidRPr="0086466C">
        <w:rPr>
          <w:rFonts w:ascii="Arial" w:hAnsi="Arial" w:cs="Arial"/>
        </w:rPr>
        <w:t>29</w:t>
      </w:r>
      <w:r w:rsidRPr="0086466C">
        <w:rPr>
          <w:rFonts w:ascii="Arial" w:hAnsi="Arial" w:cs="Arial"/>
        </w:rPr>
        <w:t xml:space="preserve">). Největší část udržené hodnoty tvoří personální náklady i </w:t>
      </w:r>
      <w:r w:rsidRPr="0086466C">
        <w:rPr>
          <w:rFonts w:ascii="Arial" w:hAnsi="Arial" w:cs="Arial"/>
          <w:b/>
          <w:bCs/>
        </w:rPr>
        <w:t>poměrně vysoké odpisy</w:t>
      </w:r>
      <w:r w:rsidRPr="0086466C">
        <w:rPr>
          <w:rFonts w:ascii="Arial" w:hAnsi="Arial" w:cs="Arial"/>
        </w:rPr>
        <w:t>, nejvyšší ze všech skupin subjektů dle postavení v GPN.</w:t>
      </w:r>
    </w:p>
    <w:p w14:paraId="4F25CFBD" w14:textId="77777777" w:rsidR="00101888" w:rsidRPr="0086466C" w:rsidRDefault="00101888" w:rsidP="00101888">
      <w:pPr>
        <w:spacing w:before="120" w:after="0"/>
        <w:jc w:val="both"/>
        <w:rPr>
          <w:rFonts w:ascii="Arial" w:hAnsi="Arial" w:cs="Arial"/>
        </w:rPr>
      </w:pPr>
      <w:r w:rsidRPr="0086466C">
        <w:rPr>
          <w:rFonts w:ascii="Arial" w:hAnsi="Arial" w:cs="Arial"/>
          <w:b/>
          <w:bCs/>
        </w:rPr>
        <w:t>Pobočky zahraničních vedoucích firem</w:t>
      </w:r>
      <w:r w:rsidRPr="0086466C">
        <w:rPr>
          <w:rFonts w:ascii="Arial" w:hAnsi="Arial" w:cs="Arial"/>
        </w:rPr>
        <w:t xml:space="preserve"> mají oproti tuzemským vedoucím firmám </w:t>
      </w:r>
      <w:r w:rsidRPr="0086466C">
        <w:rPr>
          <w:rFonts w:ascii="Arial" w:hAnsi="Arial" w:cs="Arial"/>
          <w:b/>
          <w:bCs/>
        </w:rPr>
        <w:t>poloviční vytvořenou hodnotu</w:t>
      </w:r>
      <w:r w:rsidRPr="0086466C">
        <w:rPr>
          <w:rFonts w:ascii="Arial" w:hAnsi="Arial" w:cs="Arial"/>
        </w:rPr>
        <w:t xml:space="preserve">. Na druhou stranu ale mají průměrně </w:t>
      </w:r>
      <w:r w:rsidRPr="0086466C">
        <w:rPr>
          <w:rFonts w:ascii="Arial" w:hAnsi="Arial" w:cs="Arial"/>
          <w:b/>
          <w:bCs/>
        </w:rPr>
        <w:t>nejvyšší zisk před zdaněním</w:t>
      </w:r>
      <w:r w:rsidRPr="0086466C">
        <w:rPr>
          <w:rFonts w:ascii="Arial" w:hAnsi="Arial" w:cs="Arial"/>
        </w:rPr>
        <w:t xml:space="preserve"> ze všech skupin subjektů. Udržená hodnota je v průměru třetí nejvyšší ze všech skupin a po tuzemských vedoucích firmách mají pobočky zahraničních integrátorů </w:t>
      </w:r>
      <w:r w:rsidRPr="0086466C">
        <w:rPr>
          <w:rFonts w:ascii="Arial" w:hAnsi="Arial" w:cs="Arial"/>
          <w:b/>
          <w:bCs/>
        </w:rPr>
        <w:t>druhé nejvyšší odpisy</w:t>
      </w:r>
      <w:r w:rsidRPr="0086466C">
        <w:rPr>
          <w:rFonts w:ascii="Arial" w:hAnsi="Arial" w:cs="Arial"/>
        </w:rPr>
        <w:t xml:space="preserve">. Oproti tomu </w:t>
      </w:r>
      <w:r w:rsidRPr="0086466C">
        <w:rPr>
          <w:rFonts w:ascii="Arial" w:hAnsi="Arial" w:cs="Arial"/>
          <w:b/>
          <w:bCs/>
        </w:rPr>
        <w:t>personální náklady jsou spíše nižší</w:t>
      </w:r>
      <w:r w:rsidRPr="0086466C">
        <w:rPr>
          <w:rFonts w:ascii="Arial" w:hAnsi="Arial" w:cs="Arial"/>
        </w:rPr>
        <w:t xml:space="preserve"> na úrovni dodavatelů 2. řádu. Díky poměrně vysokému zisku tyto firmy také </w:t>
      </w:r>
      <w:r w:rsidRPr="0086466C">
        <w:rPr>
          <w:rFonts w:ascii="Arial" w:hAnsi="Arial" w:cs="Arial"/>
          <w:b/>
          <w:bCs/>
        </w:rPr>
        <w:t>v průměru vyplácí nejvyšší daň z příjmu</w:t>
      </w:r>
      <w:r w:rsidRPr="0086466C">
        <w:rPr>
          <w:rFonts w:ascii="Arial" w:hAnsi="Arial" w:cs="Arial"/>
        </w:rPr>
        <w:t>.</w:t>
      </w:r>
    </w:p>
    <w:p w14:paraId="789F630E" w14:textId="77777777" w:rsidR="00101888" w:rsidRPr="0086466C" w:rsidRDefault="00101888" w:rsidP="00101888">
      <w:pPr>
        <w:spacing w:before="120" w:after="0"/>
        <w:jc w:val="both"/>
        <w:rPr>
          <w:rFonts w:ascii="Arial" w:hAnsi="Arial" w:cs="Arial"/>
        </w:rPr>
      </w:pPr>
      <w:r w:rsidRPr="0086466C">
        <w:rPr>
          <w:rFonts w:ascii="Arial" w:hAnsi="Arial" w:cs="Arial"/>
        </w:rPr>
        <w:t xml:space="preserve">Skupina </w:t>
      </w:r>
      <w:r w:rsidRPr="0086466C">
        <w:rPr>
          <w:rFonts w:ascii="Arial" w:hAnsi="Arial" w:cs="Arial"/>
          <w:b/>
          <w:bCs/>
        </w:rPr>
        <w:t>dodavatelů 1. řádu</w:t>
      </w:r>
      <w:r w:rsidRPr="0086466C">
        <w:rPr>
          <w:rFonts w:ascii="Arial" w:hAnsi="Arial" w:cs="Arial"/>
        </w:rPr>
        <w:t xml:space="preserve"> vykazuje poměrně </w:t>
      </w:r>
      <w:r w:rsidRPr="0086466C">
        <w:rPr>
          <w:rFonts w:ascii="Arial" w:hAnsi="Arial" w:cs="Arial"/>
          <w:b/>
          <w:bCs/>
        </w:rPr>
        <w:t>vysokou hodnotu vytvořenou i udrženou</w:t>
      </w:r>
      <w:r w:rsidRPr="0086466C">
        <w:rPr>
          <w:rFonts w:ascii="Arial" w:hAnsi="Arial" w:cs="Arial"/>
        </w:rPr>
        <w:t xml:space="preserve">. Hodnota vytvořená je druhá nejvyšší po vedoucích firmách, hlavně díky </w:t>
      </w:r>
      <w:r w:rsidRPr="0086466C">
        <w:rPr>
          <w:rFonts w:ascii="Arial" w:hAnsi="Arial" w:cs="Arial"/>
          <w:b/>
          <w:bCs/>
        </w:rPr>
        <w:t>vysokému mediánu obratu</w:t>
      </w:r>
      <w:r w:rsidRPr="0086466C">
        <w:rPr>
          <w:rFonts w:ascii="Arial" w:hAnsi="Arial" w:cs="Arial"/>
        </w:rPr>
        <w:t xml:space="preserve">. Tyto subjekty také mají </w:t>
      </w:r>
      <w:r w:rsidRPr="0086466C">
        <w:rPr>
          <w:rFonts w:ascii="Arial" w:hAnsi="Arial" w:cs="Arial"/>
          <w:b/>
          <w:bCs/>
        </w:rPr>
        <w:t>vysokou přidanou hodnotu</w:t>
      </w:r>
      <w:r w:rsidRPr="0086466C">
        <w:rPr>
          <w:rFonts w:ascii="Arial" w:hAnsi="Arial" w:cs="Arial"/>
        </w:rPr>
        <w:t xml:space="preserve">, i nezanedbatelný zisk před zdaněním. </w:t>
      </w:r>
      <w:r w:rsidRPr="0086466C">
        <w:rPr>
          <w:rFonts w:ascii="Arial" w:hAnsi="Arial" w:cs="Arial"/>
          <w:b/>
          <w:bCs/>
        </w:rPr>
        <w:t>Hodnota udržená je dokonce nejvyšší</w:t>
      </w:r>
      <w:r w:rsidRPr="0086466C">
        <w:rPr>
          <w:rFonts w:ascii="Arial" w:hAnsi="Arial" w:cs="Arial"/>
        </w:rPr>
        <w:t xml:space="preserve"> ze všech skupin subjektů. Největší podíl na tom mají velmi </w:t>
      </w:r>
      <w:r w:rsidRPr="0086466C">
        <w:rPr>
          <w:rFonts w:ascii="Arial" w:hAnsi="Arial" w:cs="Arial"/>
          <w:b/>
          <w:bCs/>
        </w:rPr>
        <w:t>vysoké personální náklady</w:t>
      </w:r>
      <w:r w:rsidRPr="0086466C">
        <w:rPr>
          <w:rFonts w:ascii="Arial" w:hAnsi="Arial" w:cs="Arial"/>
        </w:rPr>
        <w:t xml:space="preserve">, které jsou v případě dodavatelů 1. řádu v průměru vyšší než u vedoucích firem. Stejně tak je </w:t>
      </w:r>
      <w:r w:rsidRPr="0086466C">
        <w:rPr>
          <w:rFonts w:ascii="Arial" w:hAnsi="Arial" w:cs="Arial"/>
          <w:b/>
          <w:bCs/>
        </w:rPr>
        <w:t>druhá nejvyšší odvedená daň z příjmu</w:t>
      </w:r>
      <w:r w:rsidRPr="0086466C">
        <w:rPr>
          <w:rFonts w:ascii="Arial" w:hAnsi="Arial" w:cs="Arial"/>
        </w:rPr>
        <w:t xml:space="preserve">. Naopak </w:t>
      </w:r>
      <w:r w:rsidRPr="0086466C">
        <w:rPr>
          <w:rFonts w:ascii="Arial" w:hAnsi="Arial" w:cs="Arial"/>
          <w:b/>
          <w:bCs/>
        </w:rPr>
        <w:t>odpisy nedosahují tak vysokých hodnot</w:t>
      </w:r>
      <w:r w:rsidRPr="0086466C">
        <w:rPr>
          <w:rFonts w:ascii="Arial" w:hAnsi="Arial" w:cs="Arial"/>
        </w:rPr>
        <w:t>.</w:t>
      </w:r>
    </w:p>
    <w:p w14:paraId="15A7F611" w14:textId="45E22C29" w:rsidR="00101888" w:rsidRPr="0086466C" w:rsidRDefault="00101888" w:rsidP="00101888">
      <w:pPr>
        <w:spacing w:before="120" w:after="0"/>
        <w:jc w:val="both"/>
        <w:rPr>
          <w:rFonts w:ascii="Arial" w:hAnsi="Arial" w:cs="Arial"/>
        </w:rPr>
      </w:pPr>
      <w:r w:rsidRPr="0086466C">
        <w:rPr>
          <w:rFonts w:ascii="Arial" w:hAnsi="Arial" w:cs="Arial"/>
          <w:b/>
          <w:bCs/>
        </w:rPr>
        <w:t>Dodavatelé 2. řádu</w:t>
      </w:r>
      <w:r w:rsidRPr="0086466C">
        <w:rPr>
          <w:rFonts w:ascii="Arial" w:hAnsi="Arial" w:cs="Arial"/>
        </w:rPr>
        <w:t xml:space="preserve"> mají oproti dodavatelům 1. řádu vytvořenu i udrženou hodnotu zhruba poloviční. </w:t>
      </w:r>
      <w:r w:rsidR="006A5C1F" w:rsidRPr="0086466C">
        <w:rPr>
          <w:rFonts w:ascii="Arial" w:hAnsi="Arial" w:cs="Arial"/>
        </w:rPr>
        <w:t xml:space="preserve">Vykazují </w:t>
      </w:r>
      <w:r w:rsidR="006A5C1F" w:rsidRPr="0086466C">
        <w:rPr>
          <w:rFonts w:ascii="Arial" w:hAnsi="Arial" w:cs="Arial"/>
          <w:b/>
          <w:bCs/>
        </w:rPr>
        <w:t>velmi nízký zisk před zdaněním</w:t>
      </w:r>
      <w:r w:rsidR="006A5C1F" w:rsidRPr="0086466C">
        <w:rPr>
          <w:rFonts w:ascii="Arial" w:hAnsi="Arial" w:cs="Arial"/>
        </w:rPr>
        <w:t>, i následnou daň z</w:t>
      </w:r>
      <w:r w:rsidR="0097430A" w:rsidRPr="0086466C">
        <w:rPr>
          <w:rFonts w:ascii="Arial" w:hAnsi="Arial" w:cs="Arial"/>
        </w:rPr>
        <w:t> </w:t>
      </w:r>
      <w:r w:rsidR="006A5C1F" w:rsidRPr="0086466C">
        <w:rPr>
          <w:rFonts w:ascii="Arial" w:hAnsi="Arial" w:cs="Arial"/>
        </w:rPr>
        <w:t>příjmu</w:t>
      </w:r>
      <w:r w:rsidR="0097430A" w:rsidRPr="0086466C">
        <w:rPr>
          <w:rFonts w:ascii="Arial" w:hAnsi="Arial" w:cs="Arial"/>
        </w:rPr>
        <w:t xml:space="preserve">. </w:t>
      </w:r>
      <w:r w:rsidR="0097430A" w:rsidRPr="0086466C">
        <w:rPr>
          <w:rFonts w:ascii="Arial" w:hAnsi="Arial" w:cs="Arial"/>
          <w:b/>
          <w:bCs/>
        </w:rPr>
        <w:t>Personální náklady</w:t>
      </w:r>
      <w:r w:rsidR="0097430A" w:rsidRPr="0086466C">
        <w:rPr>
          <w:rFonts w:ascii="Arial" w:hAnsi="Arial" w:cs="Arial"/>
        </w:rPr>
        <w:t xml:space="preserve"> jsou však </w:t>
      </w:r>
      <w:r w:rsidR="00B67F7E" w:rsidRPr="0086466C">
        <w:rPr>
          <w:rFonts w:ascii="Arial" w:hAnsi="Arial" w:cs="Arial"/>
          <w:b/>
          <w:bCs/>
        </w:rPr>
        <w:t>srovnatelné se zahraničními pobočkami</w:t>
      </w:r>
      <w:r w:rsidR="00B67F7E" w:rsidRPr="0086466C">
        <w:rPr>
          <w:rFonts w:ascii="Arial" w:hAnsi="Arial" w:cs="Arial"/>
        </w:rPr>
        <w:t xml:space="preserve"> vedoucích firem.</w:t>
      </w:r>
      <w:r w:rsidR="00B945A7" w:rsidRPr="0086466C">
        <w:rPr>
          <w:rFonts w:ascii="Arial" w:hAnsi="Arial" w:cs="Arial"/>
        </w:rPr>
        <w:t xml:space="preserve"> Oproti dodavatelům 1. řádu mají tyto subjekty zhruba poloviční přidanou hodnotu.</w:t>
      </w:r>
    </w:p>
    <w:p w14:paraId="1FA6F909" w14:textId="2ED3FD86" w:rsidR="005D188F" w:rsidRPr="0086466C" w:rsidRDefault="00B1712F" w:rsidP="00101888">
      <w:pPr>
        <w:spacing w:before="120" w:after="0"/>
        <w:jc w:val="both"/>
        <w:rPr>
          <w:rFonts w:ascii="Arial" w:hAnsi="Arial" w:cs="Arial"/>
        </w:rPr>
      </w:pPr>
      <w:r w:rsidRPr="0086466C">
        <w:rPr>
          <w:rFonts w:ascii="Arial" w:hAnsi="Arial" w:cs="Arial"/>
        </w:rPr>
        <w:lastRenderedPageBreak/>
        <w:t xml:space="preserve">U </w:t>
      </w:r>
      <w:r w:rsidRPr="0086466C">
        <w:rPr>
          <w:rFonts w:ascii="Arial" w:hAnsi="Arial" w:cs="Arial"/>
          <w:b/>
          <w:bCs/>
        </w:rPr>
        <w:t>d</w:t>
      </w:r>
      <w:r w:rsidR="005D188F" w:rsidRPr="0086466C">
        <w:rPr>
          <w:rFonts w:ascii="Arial" w:hAnsi="Arial" w:cs="Arial"/>
          <w:b/>
          <w:bCs/>
        </w:rPr>
        <w:t>odavatel</w:t>
      </w:r>
      <w:r w:rsidRPr="0086466C">
        <w:rPr>
          <w:rFonts w:ascii="Arial" w:hAnsi="Arial" w:cs="Arial"/>
          <w:b/>
          <w:bCs/>
        </w:rPr>
        <w:t>ů</w:t>
      </w:r>
      <w:r w:rsidR="005D188F" w:rsidRPr="0086466C">
        <w:rPr>
          <w:rFonts w:ascii="Arial" w:hAnsi="Arial" w:cs="Arial"/>
          <w:b/>
          <w:bCs/>
        </w:rPr>
        <w:t xml:space="preserve"> 3. řádu</w:t>
      </w:r>
      <w:r w:rsidR="005D188F" w:rsidRPr="0086466C">
        <w:rPr>
          <w:rFonts w:ascii="Arial" w:hAnsi="Arial" w:cs="Arial"/>
        </w:rPr>
        <w:t xml:space="preserve"> </w:t>
      </w:r>
      <w:r w:rsidRPr="0086466C">
        <w:rPr>
          <w:rFonts w:ascii="Arial" w:hAnsi="Arial" w:cs="Arial"/>
        </w:rPr>
        <w:t xml:space="preserve">je </w:t>
      </w:r>
      <w:r w:rsidR="00B945A7" w:rsidRPr="0086466C">
        <w:rPr>
          <w:rFonts w:ascii="Arial" w:hAnsi="Arial" w:cs="Arial"/>
        </w:rPr>
        <w:t xml:space="preserve">zajímavý </w:t>
      </w:r>
      <w:r w:rsidR="00B945A7" w:rsidRPr="0086466C">
        <w:rPr>
          <w:rFonts w:ascii="Arial" w:hAnsi="Arial" w:cs="Arial"/>
          <w:b/>
          <w:bCs/>
        </w:rPr>
        <w:t>poměrně vysoký zisk před zdaněním</w:t>
      </w:r>
      <w:r w:rsidR="00B945A7" w:rsidRPr="0086466C">
        <w:rPr>
          <w:rFonts w:ascii="Arial" w:hAnsi="Arial" w:cs="Arial"/>
        </w:rPr>
        <w:t xml:space="preserve"> (3. nejvyšší) a tedy i vyšší podíl daně z příjmu na hodnotě udržené. </w:t>
      </w:r>
      <w:r w:rsidR="004D76E2" w:rsidRPr="0086466C">
        <w:rPr>
          <w:rFonts w:ascii="Arial" w:hAnsi="Arial" w:cs="Arial"/>
        </w:rPr>
        <w:t>Přidaná hodnota</w:t>
      </w:r>
      <w:r w:rsidR="00C31ECF" w:rsidRPr="0086466C">
        <w:rPr>
          <w:rFonts w:ascii="Arial" w:hAnsi="Arial" w:cs="Arial"/>
        </w:rPr>
        <w:t xml:space="preserve"> je poměrně nízká, stejně jako odpisy. Průměrné personální náklady jsou zhruba</w:t>
      </w:r>
      <w:r w:rsidR="006E201B" w:rsidRPr="0086466C">
        <w:rPr>
          <w:rFonts w:ascii="Arial" w:hAnsi="Arial" w:cs="Arial"/>
        </w:rPr>
        <w:t xml:space="preserve"> na úrovni 2/3 dodavatelů 2. řádu a podobně je to i s mediánem obratu</w:t>
      </w:r>
      <w:r w:rsidR="00E34F25" w:rsidRPr="0086466C">
        <w:rPr>
          <w:rFonts w:ascii="Arial" w:hAnsi="Arial" w:cs="Arial"/>
        </w:rPr>
        <w:t xml:space="preserve"> za sledované období.</w:t>
      </w:r>
    </w:p>
    <w:p w14:paraId="627ABCED" w14:textId="4C4E1F30" w:rsidR="00E34F25" w:rsidRPr="0086466C" w:rsidRDefault="00E34F25" w:rsidP="00101888">
      <w:pPr>
        <w:spacing w:before="120" w:after="0"/>
        <w:jc w:val="both"/>
        <w:rPr>
          <w:rFonts w:ascii="Arial" w:hAnsi="Arial" w:cs="Arial"/>
        </w:rPr>
      </w:pPr>
      <w:r w:rsidRPr="0086466C">
        <w:rPr>
          <w:rFonts w:ascii="Arial" w:hAnsi="Arial" w:cs="Arial"/>
          <w:b/>
          <w:bCs/>
        </w:rPr>
        <w:t>Firmy stojící mimo GPN</w:t>
      </w:r>
      <w:r w:rsidRPr="0086466C">
        <w:rPr>
          <w:rFonts w:ascii="Arial" w:hAnsi="Arial" w:cs="Arial"/>
        </w:rPr>
        <w:t xml:space="preserve"> se vyznačují </w:t>
      </w:r>
      <w:r w:rsidRPr="0086466C">
        <w:rPr>
          <w:rFonts w:ascii="Arial" w:hAnsi="Arial" w:cs="Arial"/>
          <w:b/>
          <w:bCs/>
        </w:rPr>
        <w:t xml:space="preserve">velmi nízkou hodnotou </w:t>
      </w:r>
      <w:r w:rsidR="00252787" w:rsidRPr="0086466C">
        <w:rPr>
          <w:rFonts w:ascii="Arial" w:hAnsi="Arial" w:cs="Arial"/>
          <w:b/>
          <w:bCs/>
        </w:rPr>
        <w:t>jednotlivých složek hodnoty vytvořené a udržené</w:t>
      </w:r>
      <w:r w:rsidR="00252787" w:rsidRPr="0086466C">
        <w:rPr>
          <w:rFonts w:ascii="Arial" w:hAnsi="Arial" w:cs="Arial"/>
        </w:rPr>
        <w:t xml:space="preserve">. </w:t>
      </w:r>
      <w:r w:rsidR="0055358D" w:rsidRPr="0086466C">
        <w:rPr>
          <w:rFonts w:ascii="Arial" w:hAnsi="Arial" w:cs="Arial"/>
        </w:rPr>
        <w:t xml:space="preserve">V případě mediánu obratu, přidané hodnoty a zisku před zdaněním </w:t>
      </w:r>
      <w:r w:rsidR="00A8015D" w:rsidRPr="0086466C">
        <w:rPr>
          <w:rFonts w:ascii="Arial" w:hAnsi="Arial" w:cs="Arial"/>
        </w:rPr>
        <w:t>nezáleží na tom, zda má subjekt přístup na koncový trh či nikoliv. Personální náklady mají o zlomek vyšší subjekty s přístupem na koncový trh, stejně jako odpisy. Odvedená daň z příjmu je v průměru velmi nízká u obou typů subjektů.</w:t>
      </w:r>
    </w:p>
    <w:p w14:paraId="65189162" w14:textId="1B5DB186" w:rsidR="00236410" w:rsidRPr="0086466C" w:rsidRDefault="00236410" w:rsidP="00101888">
      <w:pPr>
        <w:spacing w:before="120" w:after="0"/>
        <w:jc w:val="both"/>
        <w:rPr>
          <w:rFonts w:ascii="Arial" w:hAnsi="Arial" w:cs="Arial"/>
        </w:rPr>
      </w:pPr>
      <w:r w:rsidRPr="0086466C">
        <w:rPr>
          <w:rFonts w:ascii="Arial" w:hAnsi="Arial" w:cs="Arial"/>
        </w:rPr>
        <w:t>Ačkoliv se z grafů 2</w:t>
      </w:r>
      <w:r w:rsidR="00283F6C" w:rsidRPr="0086466C">
        <w:rPr>
          <w:rFonts w:ascii="Arial" w:hAnsi="Arial" w:cs="Arial"/>
        </w:rPr>
        <w:t>8</w:t>
      </w:r>
      <w:r w:rsidRPr="0086466C">
        <w:rPr>
          <w:rFonts w:ascii="Arial" w:hAnsi="Arial" w:cs="Arial"/>
        </w:rPr>
        <w:t xml:space="preserve"> a 2</w:t>
      </w:r>
      <w:r w:rsidR="00283F6C" w:rsidRPr="0086466C">
        <w:rPr>
          <w:rFonts w:ascii="Arial" w:hAnsi="Arial" w:cs="Arial"/>
        </w:rPr>
        <w:t>9</w:t>
      </w:r>
      <w:r w:rsidRPr="0086466C">
        <w:rPr>
          <w:rFonts w:ascii="Arial" w:hAnsi="Arial" w:cs="Arial"/>
        </w:rPr>
        <w:t xml:space="preserve"> může zdát, že existuje přímá úměra mezi hodnotami složek hodnoty vytvořené a udržené, je třeba zdůraznit, že se jedná o průměrné hodnoty</w:t>
      </w:r>
      <w:r w:rsidR="005F751D" w:rsidRPr="0086466C">
        <w:rPr>
          <w:rFonts w:ascii="Arial" w:hAnsi="Arial" w:cs="Arial"/>
        </w:rPr>
        <w:t xml:space="preserve"> ekonomických ukazatelů </w:t>
      </w:r>
      <w:r w:rsidRPr="0086466C">
        <w:rPr>
          <w:rFonts w:ascii="Arial" w:hAnsi="Arial" w:cs="Arial"/>
        </w:rPr>
        <w:t>za celé skupiny subjektů dle postavení v</w:t>
      </w:r>
      <w:r w:rsidR="005F751D" w:rsidRPr="0086466C">
        <w:rPr>
          <w:rFonts w:ascii="Arial" w:hAnsi="Arial" w:cs="Arial"/>
        </w:rPr>
        <w:t> </w:t>
      </w:r>
      <w:r w:rsidRPr="0086466C">
        <w:rPr>
          <w:rFonts w:ascii="Arial" w:hAnsi="Arial" w:cs="Arial"/>
        </w:rPr>
        <w:t>GPN</w:t>
      </w:r>
      <w:r w:rsidR="005F751D" w:rsidRPr="0086466C">
        <w:rPr>
          <w:rFonts w:ascii="Arial" w:hAnsi="Arial" w:cs="Arial"/>
        </w:rPr>
        <w:t>. Pro jednotlivé subjekty však nebyla statistick</w:t>
      </w:r>
      <w:r w:rsidR="00FF2D06" w:rsidRPr="0086466C">
        <w:rPr>
          <w:rFonts w:ascii="Arial" w:hAnsi="Arial" w:cs="Arial"/>
        </w:rPr>
        <w:t>ými metodami</w:t>
      </w:r>
      <w:r w:rsidR="005F751D" w:rsidRPr="0086466C">
        <w:rPr>
          <w:rFonts w:ascii="Arial" w:hAnsi="Arial" w:cs="Arial"/>
        </w:rPr>
        <w:t xml:space="preserve"> prokázána korela</w:t>
      </w:r>
      <w:r w:rsidR="00FF2D06" w:rsidRPr="0086466C">
        <w:rPr>
          <w:rFonts w:ascii="Arial" w:hAnsi="Arial" w:cs="Arial"/>
        </w:rPr>
        <w:t>ce mezi hodnotou vytvořenou a udrženou (viz výše).</w:t>
      </w:r>
    </w:p>
    <w:p w14:paraId="016B847A" w14:textId="2F3D864B" w:rsidR="00F55842" w:rsidRPr="0086466C" w:rsidRDefault="00101888" w:rsidP="00F55842">
      <w:pPr>
        <w:spacing w:before="120" w:after="0"/>
        <w:jc w:val="both"/>
        <w:rPr>
          <w:rFonts w:ascii="Arial" w:hAnsi="Arial" w:cs="Arial"/>
        </w:rPr>
      </w:pPr>
      <w:r w:rsidRPr="0086466C">
        <w:rPr>
          <w:noProof/>
        </w:rPr>
        <w:drawing>
          <wp:inline distT="0" distB="0" distL="0" distR="0" wp14:anchorId="3FC4131D" wp14:editId="2CF74A8B">
            <wp:extent cx="5753100" cy="2990850"/>
            <wp:effectExtent l="0" t="0" r="0" b="0"/>
            <wp:docPr id="269978350" name="Graf 1">
              <a:extLst xmlns:a="http://schemas.openxmlformats.org/drawingml/2006/main">
                <a:ext uri="{FF2B5EF4-FFF2-40B4-BE49-F238E27FC236}">
                  <a16:creationId xmlns:a16="http://schemas.microsoft.com/office/drawing/2014/main" id="{149A3CB3-EEC9-4D32-832D-AF77D57EAD8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</wp:inline>
        </w:drawing>
      </w:r>
      <w:r w:rsidRPr="0086466C">
        <w:rPr>
          <w:noProof/>
        </w:rPr>
        <w:drawing>
          <wp:inline distT="0" distB="0" distL="0" distR="0" wp14:anchorId="7EBD3E2A" wp14:editId="4E29999F">
            <wp:extent cx="5753100" cy="3362325"/>
            <wp:effectExtent l="0" t="0" r="0" b="9525"/>
            <wp:docPr id="957139135" name="Graf 2">
              <a:extLst xmlns:a="http://schemas.openxmlformats.org/drawingml/2006/main">
                <a:ext uri="{FF2B5EF4-FFF2-40B4-BE49-F238E27FC236}">
                  <a16:creationId xmlns:a16="http://schemas.microsoft.com/office/drawing/2014/main" id="{C681F7B5-85C7-43D8-BF3E-B48B9D17072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1"/>
              </a:graphicData>
            </a:graphic>
          </wp:inline>
        </w:drawing>
      </w:r>
    </w:p>
    <w:p w14:paraId="4090DDAE" w14:textId="566419D7" w:rsidR="00F55842" w:rsidRPr="0086466C" w:rsidRDefault="00F55842" w:rsidP="00F55842">
      <w:pPr>
        <w:spacing w:before="120" w:after="0"/>
        <w:jc w:val="both"/>
        <w:rPr>
          <w:rFonts w:ascii="Arial" w:hAnsi="Arial" w:cs="Arial"/>
        </w:rPr>
      </w:pPr>
      <w:r w:rsidRPr="0086466C">
        <w:rPr>
          <w:rFonts w:ascii="Arial" w:hAnsi="Arial" w:cs="Arial"/>
        </w:rPr>
        <w:lastRenderedPageBreak/>
        <w:t xml:space="preserve">Pomocí </w:t>
      </w:r>
      <w:proofErr w:type="spellStart"/>
      <w:r w:rsidRPr="0086466C">
        <w:rPr>
          <w:rFonts w:ascii="Arial" w:hAnsi="Arial" w:cs="Arial"/>
        </w:rPr>
        <w:t>Spearmanova</w:t>
      </w:r>
      <w:proofErr w:type="spellEnd"/>
      <w:r w:rsidRPr="0086466C">
        <w:rPr>
          <w:rFonts w:ascii="Arial" w:hAnsi="Arial" w:cs="Arial"/>
        </w:rPr>
        <w:t xml:space="preserve"> korelačního koeficientu byly </w:t>
      </w:r>
      <w:r w:rsidRPr="0086466C">
        <w:rPr>
          <w:rFonts w:ascii="Arial" w:hAnsi="Arial" w:cs="Arial"/>
          <w:b/>
          <w:bCs/>
        </w:rPr>
        <w:t>testovány i vzájemné souvislosti mezi jednotlivými ekonomickými ukazateli</w:t>
      </w:r>
      <w:r w:rsidRPr="0086466C">
        <w:rPr>
          <w:rFonts w:ascii="Arial" w:hAnsi="Arial" w:cs="Arial"/>
        </w:rPr>
        <w:t xml:space="preserve">. Zde </w:t>
      </w:r>
      <w:r w:rsidRPr="0086466C">
        <w:rPr>
          <w:rFonts w:ascii="Arial" w:hAnsi="Arial" w:cs="Arial"/>
          <w:b/>
          <w:bCs/>
        </w:rPr>
        <w:t xml:space="preserve">nebyla jednoznačně prokázána žádná hypotéza </w:t>
      </w:r>
      <w:r w:rsidRPr="0086466C">
        <w:rPr>
          <w:rFonts w:ascii="Arial" w:hAnsi="Arial" w:cs="Arial"/>
        </w:rPr>
        <w:t xml:space="preserve">popisující možné souvislosti mezi obratem, ziskem, přidanou hodnotou a personálními náklady. Pouze </w:t>
      </w:r>
      <w:r w:rsidRPr="0086466C">
        <w:rPr>
          <w:rFonts w:ascii="Arial" w:hAnsi="Arial" w:cs="Arial"/>
          <w:b/>
          <w:bCs/>
        </w:rPr>
        <w:t>vztah mezi přidanou hodnotou a personálními náklady by mohl mít lineární závislost</w:t>
      </w:r>
      <w:r w:rsidRPr="0086466C">
        <w:rPr>
          <w:rFonts w:ascii="Arial" w:hAnsi="Arial" w:cs="Arial"/>
        </w:rPr>
        <w:t xml:space="preserve">, což lze vyjádřit i graficky pomocí bodového grafu se spojnicí trendu (viz graf </w:t>
      </w:r>
      <w:r w:rsidR="00283F6C" w:rsidRPr="0086466C">
        <w:rPr>
          <w:rFonts w:ascii="Arial" w:hAnsi="Arial" w:cs="Arial"/>
        </w:rPr>
        <w:t>30</w:t>
      </w:r>
      <w:r w:rsidRPr="0086466C">
        <w:rPr>
          <w:rFonts w:ascii="Arial" w:hAnsi="Arial" w:cs="Arial"/>
        </w:rPr>
        <w:t xml:space="preserve">). </w:t>
      </w:r>
    </w:p>
    <w:p w14:paraId="02B05797" w14:textId="660967CF" w:rsidR="00F55842" w:rsidRPr="0086466C" w:rsidRDefault="00F55842" w:rsidP="00F55842">
      <w:pPr>
        <w:spacing w:before="120" w:after="0"/>
        <w:jc w:val="both"/>
        <w:rPr>
          <w:rFonts w:ascii="Arial" w:hAnsi="Arial" w:cs="Arial"/>
        </w:rPr>
      </w:pPr>
      <w:r w:rsidRPr="0086466C">
        <w:rPr>
          <w:noProof/>
        </w:rPr>
        <w:drawing>
          <wp:inline distT="0" distB="0" distL="0" distR="0" wp14:anchorId="4975094E" wp14:editId="679A3565">
            <wp:extent cx="5760720" cy="3152775"/>
            <wp:effectExtent l="0" t="0" r="11430" b="9525"/>
            <wp:docPr id="590004781" name="Graf 1">
              <a:extLst xmlns:a="http://schemas.openxmlformats.org/drawingml/2006/main">
                <a:ext uri="{FF2B5EF4-FFF2-40B4-BE49-F238E27FC236}">
                  <a16:creationId xmlns:a16="http://schemas.microsoft.com/office/drawing/2014/main" id="{5A51A88E-16BA-4C66-BE6E-60DFD8FEAB4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2"/>
              </a:graphicData>
            </a:graphic>
          </wp:inline>
        </w:drawing>
      </w:r>
    </w:p>
    <w:p w14:paraId="7A470A49" w14:textId="3ED8456A" w:rsidR="0066511A" w:rsidRPr="0086466C" w:rsidRDefault="00823A06" w:rsidP="00365237">
      <w:pPr>
        <w:pStyle w:val="Nadpis3"/>
        <w:numPr>
          <w:ilvl w:val="1"/>
          <w:numId w:val="27"/>
        </w:numPr>
        <w:ind w:left="426"/>
        <w:rPr>
          <w:rFonts w:ascii="Arial" w:hAnsi="Arial" w:cs="Arial"/>
          <w:b/>
          <w:bCs/>
          <w:color w:val="auto"/>
          <w:sz w:val="24"/>
          <w:szCs w:val="24"/>
        </w:rPr>
      </w:pPr>
      <w:bookmarkStart w:id="7" w:name="_Toc184799884"/>
      <w:r w:rsidRPr="0086466C">
        <w:rPr>
          <w:rFonts w:ascii="Arial" w:hAnsi="Arial" w:cs="Arial"/>
          <w:b/>
          <w:bCs/>
          <w:color w:val="auto"/>
          <w:sz w:val="24"/>
          <w:szCs w:val="24"/>
        </w:rPr>
        <w:t xml:space="preserve">Hodnocení </w:t>
      </w:r>
      <w:r w:rsidR="00526089" w:rsidRPr="0086466C">
        <w:rPr>
          <w:rFonts w:ascii="Arial" w:hAnsi="Arial" w:cs="Arial"/>
          <w:b/>
          <w:bCs/>
          <w:color w:val="auto"/>
          <w:sz w:val="24"/>
          <w:szCs w:val="24"/>
        </w:rPr>
        <w:t>globálních produkčních sítí</w:t>
      </w:r>
      <w:r w:rsidRPr="0086466C">
        <w:rPr>
          <w:rFonts w:ascii="Arial" w:hAnsi="Arial" w:cs="Arial"/>
          <w:b/>
          <w:bCs/>
          <w:color w:val="auto"/>
          <w:sz w:val="24"/>
          <w:szCs w:val="24"/>
        </w:rPr>
        <w:t xml:space="preserve"> podle </w:t>
      </w:r>
      <w:r w:rsidR="00CF43B0" w:rsidRPr="0086466C">
        <w:rPr>
          <w:rFonts w:ascii="Arial" w:hAnsi="Arial" w:cs="Arial"/>
          <w:b/>
          <w:bCs/>
          <w:color w:val="auto"/>
          <w:sz w:val="24"/>
          <w:szCs w:val="24"/>
        </w:rPr>
        <w:t>kvalitativních charakteristik</w:t>
      </w:r>
      <w:bookmarkEnd w:id="7"/>
    </w:p>
    <w:p w14:paraId="6BC8B873" w14:textId="65E06252" w:rsidR="00B64B9C" w:rsidRPr="0086466C" w:rsidRDefault="00D435AC" w:rsidP="00101888">
      <w:pPr>
        <w:spacing w:before="120" w:after="0"/>
        <w:jc w:val="both"/>
        <w:rPr>
          <w:rFonts w:ascii="Arial" w:hAnsi="Arial" w:cs="Arial"/>
        </w:rPr>
      </w:pPr>
      <w:r w:rsidRPr="0086466C">
        <w:rPr>
          <w:rFonts w:ascii="Arial" w:hAnsi="Arial" w:cs="Arial"/>
        </w:rPr>
        <w:t>Kromě hodnocení ekonomických subjektů podle kvantita</w:t>
      </w:r>
      <w:r w:rsidR="00CC66A6" w:rsidRPr="0086466C">
        <w:rPr>
          <w:rFonts w:ascii="Arial" w:hAnsi="Arial" w:cs="Arial"/>
        </w:rPr>
        <w:t xml:space="preserve">tivních ukazatelů </w:t>
      </w:r>
      <w:r w:rsidR="00EE11BC" w:rsidRPr="0086466C">
        <w:rPr>
          <w:rFonts w:ascii="Arial" w:hAnsi="Arial" w:cs="Arial"/>
        </w:rPr>
        <w:t xml:space="preserve">a hledání závislostí mezi nimi </w:t>
      </w:r>
      <w:r w:rsidR="00CC66A6" w:rsidRPr="0086466C">
        <w:rPr>
          <w:rFonts w:ascii="Arial" w:hAnsi="Arial" w:cs="Arial"/>
        </w:rPr>
        <w:t xml:space="preserve">je možné </w:t>
      </w:r>
      <w:r w:rsidR="00B36B4E" w:rsidRPr="0086466C">
        <w:rPr>
          <w:rFonts w:ascii="Arial" w:hAnsi="Arial" w:cs="Arial"/>
          <w:b/>
          <w:bCs/>
        </w:rPr>
        <w:t xml:space="preserve">otestovat také </w:t>
      </w:r>
      <w:r w:rsidR="00AA24EB" w:rsidRPr="0086466C">
        <w:rPr>
          <w:rFonts w:ascii="Arial" w:hAnsi="Arial" w:cs="Arial"/>
          <w:b/>
          <w:bCs/>
        </w:rPr>
        <w:t xml:space="preserve">jejich </w:t>
      </w:r>
      <w:r w:rsidR="00B36B4E" w:rsidRPr="0086466C">
        <w:rPr>
          <w:rFonts w:ascii="Arial" w:hAnsi="Arial" w:cs="Arial"/>
          <w:b/>
          <w:bCs/>
        </w:rPr>
        <w:t xml:space="preserve">souvislost </w:t>
      </w:r>
      <w:r w:rsidR="00AA24EB" w:rsidRPr="0086466C">
        <w:rPr>
          <w:rFonts w:ascii="Arial" w:hAnsi="Arial" w:cs="Arial"/>
          <w:b/>
          <w:bCs/>
        </w:rPr>
        <w:t xml:space="preserve">s </w:t>
      </w:r>
      <w:r w:rsidR="00B36B4E" w:rsidRPr="0086466C">
        <w:rPr>
          <w:rFonts w:ascii="Arial" w:hAnsi="Arial" w:cs="Arial"/>
          <w:b/>
          <w:bCs/>
        </w:rPr>
        <w:t>kvalitativními charakteristikami</w:t>
      </w:r>
      <w:r w:rsidR="00AA24EB" w:rsidRPr="0086466C">
        <w:rPr>
          <w:rFonts w:ascii="Arial" w:hAnsi="Arial" w:cs="Arial"/>
        </w:rPr>
        <w:t>. Mezi ně se řadí např. po</w:t>
      </w:r>
      <w:r w:rsidR="00B21E85" w:rsidRPr="0086466C">
        <w:rPr>
          <w:rFonts w:ascii="Arial" w:hAnsi="Arial" w:cs="Arial"/>
        </w:rPr>
        <w:t xml:space="preserve">stavení subjektů v GPN, sídlo dle okresu, vlastnictví </w:t>
      </w:r>
      <w:r w:rsidR="00BE65B4" w:rsidRPr="0086466C">
        <w:rPr>
          <w:rFonts w:ascii="Arial" w:hAnsi="Arial" w:cs="Arial"/>
        </w:rPr>
        <w:t>subjektu</w:t>
      </w:r>
      <w:r w:rsidR="00436FE4" w:rsidRPr="0086466C">
        <w:rPr>
          <w:rFonts w:ascii="Arial" w:hAnsi="Arial" w:cs="Arial"/>
        </w:rPr>
        <w:t>, klastr dle uplatnění</w:t>
      </w:r>
      <w:r w:rsidR="00BE65B4" w:rsidRPr="0086466C">
        <w:rPr>
          <w:rFonts w:ascii="Arial" w:hAnsi="Arial" w:cs="Arial"/>
        </w:rPr>
        <w:t xml:space="preserve"> </w:t>
      </w:r>
      <w:r w:rsidR="00B21E85" w:rsidRPr="0086466C">
        <w:rPr>
          <w:rFonts w:ascii="Arial" w:hAnsi="Arial" w:cs="Arial"/>
        </w:rPr>
        <w:t xml:space="preserve">či vlastní </w:t>
      </w:r>
      <w:proofErr w:type="spellStart"/>
      <w:r w:rsidR="00B21E85" w:rsidRPr="0086466C">
        <w:rPr>
          <w:rFonts w:ascii="Arial" w:hAnsi="Arial" w:cs="Arial"/>
        </w:rPr>
        <w:t>VaV</w:t>
      </w:r>
      <w:proofErr w:type="spellEnd"/>
      <w:r w:rsidR="00B21E85" w:rsidRPr="0086466C">
        <w:rPr>
          <w:rFonts w:ascii="Arial" w:hAnsi="Arial" w:cs="Arial"/>
        </w:rPr>
        <w:t xml:space="preserve">. </w:t>
      </w:r>
      <w:r w:rsidR="00AD38EF" w:rsidRPr="0086466C">
        <w:rPr>
          <w:rFonts w:ascii="Arial" w:hAnsi="Arial" w:cs="Arial"/>
          <w:b/>
          <w:bCs/>
        </w:rPr>
        <w:t>Souvislost</w:t>
      </w:r>
      <w:r w:rsidR="00B60ADF" w:rsidRPr="0086466C">
        <w:rPr>
          <w:rFonts w:ascii="Arial" w:hAnsi="Arial" w:cs="Arial"/>
          <w:b/>
          <w:bCs/>
        </w:rPr>
        <w:t>i</w:t>
      </w:r>
      <w:r w:rsidR="00AD38EF" w:rsidRPr="0086466C">
        <w:rPr>
          <w:rFonts w:ascii="Arial" w:hAnsi="Arial" w:cs="Arial"/>
          <w:b/>
          <w:bCs/>
        </w:rPr>
        <w:t xml:space="preserve"> mezi </w:t>
      </w:r>
      <w:r w:rsidR="00B21E85" w:rsidRPr="0086466C">
        <w:rPr>
          <w:rFonts w:ascii="Arial" w:hAnsi="Arial" w:cs="Arial"/>
          <w:b/>
          <w:bCs/>
        </w:rPr>
        <w:t xml:space="preserve">kvantitativními a kvalitativními daty </w:t>
      </w:r>
      <w:r w:rsidR="00B21E85" w:rsidRPr="0086466C">
        <w:rPr>
          <w:rFonts w:ascii="Arial" w:hAnsi="Arial" w:cs="Arial"/>
        </w:rPr>
        <w:t>se testují</w:t>
      </w:r>
      <w:r w:rsidR="00AD38EF" w:rsidRPr="0086466C">
        <w:rPr>
          <w:rFonts w:ascii="Arial" w:hAnsi="Arial" w:cs="Arial"/>
          <w:b/>
          <w:bCs/>
        </w:rPr>
        <w:t xml:space="preserve"> pomocí metod korelační analýzy</w:t>
      </w:r>
      <w:r w:rsidR="00AD38EF" w:rsidRPr="0086466C">
        <w:rPr>
          <w:rFonts w:ascii="Arial" w:hAnsi="Arial" w:cs="Arial"/>
        </w:rPr>
        <w:t xml:space="preserve">, konkrétně testováním hypotéz pomocí analýzy rozptylu hodnot ANOVA. </w:t>
      </w:r>
    </w:p>
    <w:p w14:paraId="5B16DAF2" w14:textId="2D822D02" w:rsidR="00AD38EF" w:rsidRPr="0086466C" w:rsidRDefault="00D22350" w:rsidP="00101888">
      <w:pPr>
        <w:spacing w:before="120" w:after="0"/>
        <w:jc w:val="both"/>
        <w:rPr>
          <w:rFonts w:ascii="Arial" w:hAnsi="Arial" w:cs="Arial"/>
        </w:rPr>
      </w:pPr>
      <w:r w:rsidRPr="0086466C">
        <w:rPr>
          <w:rFonts w:ascii="Arial" w:hAnsi="Arial" w:cs="Arial"/>
          <w:b/>
          <w:bCs/>
        </w:rPr>
        <w:t>Analýza rozptylu</w:t>
      </w:r>
      <w:r w:rsidRPr="0086466C">
        <w:rPr>
          <w:rFonts w:ascii="Arial" w:hAnsi="Arial" w:cs="Arial"/>
        </w:rPr>
        <w:t xml:space="preserve"> (ANOVA – </w:t>
      </w:r>
      <w:proofErr w:type="spellStart"/>
      <w:r w:rsidRPr="0086466C">
        <w:rPr>
          <w:rFonts w:ascii="Arial" w:hAnsi="Arial" w:cs="Arial"/>
          <w:i/>
          <w:iCs/>
        </w:rPr>
        <w:t>Analysis</w:t>
      </w:r>
      <w:proofErr w:type="spellEnd"/>
      <w:r w:rsidRPr="0086466C">
        <w:rPr>
          <w:rFonts w:ascii="Arial" w:hAnsi="Arial" w:cs="Arial"/>
          <w:i/>
          <w:iCs/>
        </w:rPr>
        <w:t xml:space="preserve"> </w:t>
      </w:r>
      <w:proofErr w:type="spellStart"/>
      <w:r w:rsidRPr="0086466C">
        <w:rPr>
          <w:rFonts w:ascii="Arial" w:hAnsi="Arial" w:cs="Arial"/>
          <w:i/>
          <w:iCs/>
        </w:rPr>
        <w:t>of</w:t>
      </w:r>
      <w:proofErr w:type="spellEnd"/>
      <w:r w:rsidRPr="0086466C">
        <w:rPr>
          <w:rFonts w:ascii="Arial" w:hAnsi="Arial" w:cs="Arial"/>
          <w:i/>
          <w:iCs/>
        </w:rPr>
        <w:t xml:space="preserve"> Variance</w:t>
      </w:r>
      <w:r w:rsidRPr="0086466C">
        <w:rPr>
          <w:rFonts w:ascii="Arial" w:hAnsi="Arial" w:cs="Arial"/>
        </w:rPr>
        <w:t>) je statistická metoda používaná k</w:t>
      </w:r>
      <w:r w:rsidR="003415AD" w:rsidRPr="0086466C">
        <w:rPr>
          <w:rFonts w:ascii="Arial" w:hAnsi="Arial" w:cs="Arial"/>
        </w:rPr>
        <w:t> </w:t>
      </w:r>
      <w:r w:rsidRPr="0086466C">
        <w:rPr>
          <w:rFonts w:ascii="Arial" w:hAnsi="Arial" w:cs="Arial"/>
        </w:rPr>
        <w:t xml:space="preserve">porovnání středních hodnot (průměrů) mezi dvěma nebo více skupinami za účelem zjištění, zda mezi těmito skupinami existují statisticky významné rozdíly. </w:t>
      </w:r>
      <w:r w:rsidR="00652973" w:rsidRPr="0086466C">
        <w:rPr>
          <w:rFonts w:ascii="Arial" w:hAnsi="Arial" w:cs="Arial"/>
        </w:rPr>
        <w:t>Metoda porovnává jak variabilitu mezi skupinami, tak uvnitř těchto skupin</w:t>
      </w:r>
      <w:r w:rsidR="004B217C" w:rsidRPr="0086466C">
        <w:rPr>
          <w:rFonts w:ascii="Arial" w:hAnsi="Arial" w:cs="Arial"/>
        </w:rPr>
        <w:t xml:space="preserve"> a lze pomocí</w:t>
      </w:r>
      <w:r w:rsidR="004979F8" w:rsidRPr="0086466C">
        <w:rPr>
          <w:rFonts w:ascii="Arial" w:hAnsi="Arial" w:cs="Arial"/>
        </w:rPr>
        <w:t xml:space="preserve"> vypočtených hodnot</w:t>
      </w:r>
      <w:r w:rsidR="00B160F9" w:rsidRPr="0086466C">
        <w:rPr>
          <w:rFonts w:ascii="Arial" w:hAnsi="Arial" w:cs="Arial"/>
        </w:rPr>
        <w:t xml:space="preserve"> určit přijetí či zamítnutí </w:t>
      </w:r>
      <w:r w:rsidR="0017487A" w:rsidRPr="0086466C">
        <w:rPr>
          <w:rFonts w:ascii="Arial" w:hAnsi="Arial" w:cs="Arial"/>
        </w:rPr>
        <w:t xml:space="preserve">testované hypotézy. </w:t>
      </w:r>
      <w:r w:rsidR="00BA13A4" w:rsidRPr="0086466C">
        <w:rPr>
          <w:rFonts w:ascii="Arial" w:hAnsi="Arial" w:cs="Arial"/>
        </w:rPr>
        <w:t xml:space="preserve">Pro přijetí testované hypotézy byla zvolena hladina významnosti </w:t>
      </w:r>
      <w:r w:rsidR="00CD54FF" w:rsidRPr="0086466C">
        <w:rPr>
          <w:rFonts w:ascii="Arial" w:hAnsi="Arial" w:cs="Arial"/>
        </w:rPr>
        <w:t>0,05 (5 %), tj. je maximálně 5% pravděpodobnost, že testovaný jev</w:t>
      </w:r>
      <w:r w:rsidR="00B64B9C" w:rsidRPr="0086466C">
        <w:rPr>
          <w:rFonts w:ascii="Arial" w:hAnsi="Arial" w:cs="Arial"/>
        </w:rPr>
        <w:t xml:space="preserve"> stanovený v</w:t>
      </w:r>
      <w:r w:rsidR="003415AD" w:rsidRPr="0086466C">
        <w:rPr>
          <w:rFonts w:ascii="Arial" w:hAnsi="Arial" w:cs="Arial"/>
        </w:rPr>
        <w:t> </w:t>
      </w:r>
      <w:r w:rsidR="00B64B9C" w:rsidRPr="0086466C">
        <w:rPr>
          <w:rFonts w:ascii="Arial" w:hAnsi="Arial" w:cs="Arial"/>
        </w:rPr>
        <w:t>hypotéze</w:t>
      </w:r>
      <w:r w:rsidR="00CD54FF" w:rsidRPr="0086466C">
        <w:rPr>
          <w:rFonts w:ascii="Arial" w:hAnsi="Arial" w:cs="Arial"/>
        </w:rPr>
        <w:t xml:space="preserve"> je výsledkem vlivu šumu (náhody)</w:t>
      </w:r>
      <w:r w:rsidR="007C527E" w:rsidRPr="0086466C">
        <w:rPr>
          <w:rFonts w:ascii="Arial" w:hAnsi="Arial" w:cs="Arial"/>
        </w:rPr>
        <w:t>.</w:t>
      </w:r>
      <w:r w:rsidR="00585F27" w:rsidRPr="0086466C">
        <w:rPr>
          <w:rFonts w:ascii="Arial" w:hAnsi="Arial" w:cs="Arial"/>
        </w:rPr>
        <w:t xml:space="preserve"> Vzhledem k velikosti vzorku a jeho poměrně velkému rozptylu byly brány v úvahu jako </w:t>
      </w:r>
      <w:r w:rsidR="00676589" w:rsidRPr="0086466C">
        <w:rPr>
          <w:rFonts w:ascii="Arial" w:hAnsi="Arial" w:cs="Arial"/>
        </w:rPr>
        <w:t>potenciálně platné i hypotézy testované na hladině významnosti 0,2 (20 %). Zde je ovšem třeba brát</w:t>
      </w:r>
      <w:r w:rsidR="004E038C" w:rsidRPr="0086466C">
        <w:rPr>
          <w:rFonts w:ascii="Arial" w:hAnsi="Arial" w:cs="Arial"/>
        </w:rPr>
        <w:t xml:space="preserve"> při interpr</w:t>
      </w:r>
      <w:r w:rsidR="00972795" w:rsidRPr="0086466C">
        <w:rPr>
          <w:rFonts w:ascii="Arial" w:hAnsi="Arial" w:cs="Arial"/>
        </w:rPr>
        <w:t>etaci výsledků</w:t>
      </w:r>
      <w:r w:rsidR="00676589" w:rsidRPr="0086466C">
        <w:rPr>
          <w:rFonts w:ascii="Arial" w:hAnsi="Arial" w:cs="Arial"/>
        </w:rPr>
        <w:t xml:space="preserve"> v úvahu vysok</w:t>
      </w:r>
      <w:r w:rsidR="003B5A35" w:rsidRPr="0086466C">
        <w:rPr>
          <w:rFonts w:ascii="Arial" w:hAnsi="Arial" w:cs="Arial"/>
        </w:rPr>
        <w:t>ý</w:t>
      </w:r>
      <w:r w:rsidR="00676589" w:rsidRPr="0086466C">
        <w:rPr>
          <w:rFonts w:ascii="Arial" w:hAnsi="Arial" w:cs="Arial"/>
        </w:rPr>
        <w:t xml:space="preserve"> vliv šumu (náhody)</w:t>
      </w:r>
      <w:r w:rsidR="00972795" w:rsidRPr="0086466C">
        <w:rPr>
          <w:rFonts w:ascii="Arial" w:hAnsi="Arial" w:cs="Arial"/>
        </w:rPr>
        <w:t>.</w:t>
      </w:r>
    </w:p>
    <w:p w14:paraId="0CB8711B" w14:textId="7F6B580D" w:rsidR="001211C7" w:rsidRPr="0086466C" w:rsidRDefault="00B64B9C" w:rsidP="00101888">
      <w:pPr>
        <w:spacing w:before="120" w:after="0"/>
        <w:jc w:val="both"/>
        <w:rPr>
          <w:rFonts w:ascii="Arial" w:hAnsi="Arial" w:cs="Arial"/>
        </w:rPr>
      </w:pPr>
      <w:r w:rsidRPr="0086466C">
        <w:rPr>
          <w:rFonts w:ascii="Arial" w:hAnsi="Arial" w:cs="Arial"/>
        </w:rPr>
        <w:t xml:space="preserve">V našem případě byla metoda ANOVA použita na </w:t>
      </w:r>
      <w:r w:rsidRPr="0086466C">
        <w:rPr>
          <w:rFonts w:ascii="Arial" w:hAnsi="Arial" w:cs="Arial"/>
          <w:b/>
          <w:bCs/>
        </w:rPr>
        <w:t>testování závislosti mezi ekonomickými ukazateli a kvalitativními charakteristikami subjektů</w:t>
      </w:r>
      <w:r w:rsidRPr="0086466C">
        <w:rPr>
          <w:rFonts w:ascii="Arial" w:hAnsi="Arial" w:cs="Arial"/>
        </w:rPr>
        <w:t xml:space="preserve">, jako jsou </w:t>
      </w:r>
      <w:r w:rsidR="003B56F5" w:rsidRPr="0086466C">
        <w:rPr>
          <w:rFonts w:ascii="Arial" w:hAnsi="Arial" w:cs="Arial"/>
        </w:rPr>
        <w:t xml:space="preserve">okres sídla, </w:t>
      </w:r>
      <w:r w:rsidRPr="0086466C">
        <w:rPr>
          <w:rFonts w:ascii="Arial" w:hAnsi="Arial" w:cs="Arial"/>
        </w:rPr>
        <w:t>postavení v GPN, vlastnictví</w:t>
      </w:r>
      <w:r w:rsidR="000D0487" w:rsidRPr="0086466C">
        <w:rPr>
          <w:rFonts w:ascii="Arial" w:hAnsi="Arial" w:cs="Arial"/>
        </w:rPr>
        <w:t xml:space="preserve">, </w:t>
      </w:r>
      <w:r w:rsidRPr="0086466C">
        <w:rPr>
          <w:rFonts w:ascii="Arial" w:hAnsi="Arial" w:cs="Arial"/>
        </w:rPr>
        <w:t xml:space="preserve">vlastní </w:t>
      </w:r>
      <w:proofErr w:type="spellStart"/>
      <w:r w:rsidRPr="0086466C">
        <w:rPr>
          <w:rFonts w:ascii="Arial" w:hAnsi="Arial" w:cs="Arial"/>
        </w:rPr>
        <w:t>VaV</w:t>
      </w:r>
      <w:proofErr w:type="spellEnd"/>
      <w:r w:rsidR="000D0487" w:rsidRPr="0086466C">
        <w:rPr>
          <w:rFonts w:ascii="Arial" w:hAnsi="Arial" w:cs="Arial"/>
        </w:rPr>
        <w:t xml:space="preserve"> či klastr dle uplatnění finálního produktu</w:t>
      </w:r>
      <w:r w:rsidRPr="0086466C">
        <w:rPr>
          <w:rFonts w:ascii="Arial" w:hAnsi="Arial" w:cs="Arial"/>
        </w:rPr>
        <w:t>.</w:t>
      </w:r>
    </w:p>
    <w:p w14:paraId="5BF67AC9" w14:textId="73C4E2E4" w:rsidR="009256FC" w:rsidRPr="0086466C" w:rsidRDefault="00430B9B" w:rsidP="00503594">
      <w:pPr>
        <w:spacing w:before="120" w:after="0"/>
        <w:jc w:val="both"/>
        <w:rPr>
          <w:rFonts w:ascii="Arial" w:hAnsi="Arial" w:cs="Arial"/>
        </w:rPr>
      </w:pPr>
      <w:r w:rsidRPr="0086466C">
        <w:rPr>
          <w:rFonts w:ascii="Arial" w:hAnsi="Arial" w:cs="Arial"/>
        </w:rPr>
        <w:t>Nejprve by</w:t>
      </w:r>
      <w:r w:rsidR="00E556EA" w:rsidRPr="0086466C">
        <w:rPr>
          <w:rFonts w:ascii="Arial" w:hAnsi="Arial" w:cs="Arial"/>
        </w:rPr>
        <w:t xml:space="preserve">la analyzována </w:t>
      </w:r>
      <w:r w:rsidR="00E556EA" w:rsidRPr="0086466C">
        <w:rPr>
          <w:rFonts w:ascii="Arial" w:hAnsi="Arial" w:cs="Arial"/>
          <w:b/>
          <w:bCs/>
        </w:rPr>
        <w:t>závislost mezi ekonomickými ukazateli a postavením subjektů v GPN</w:t>
      </w:r>
      <w:r w:rsidR="00E556EA" w:rsidRPr="0086466C">
        <w:rPr>
          <w:rFonts w:ascii="Arial" w:hAnsi="Arial" w:cs="Arial"/>
        </w:rPr>
        <w:t xml:space="preserve">. </w:t>
      </w:r>
      <w:r w:rsidR="00F3544E" w:rsidRPr="0086466C">
        <w:rPr>
          <w:rFonts w:ascii="Arial" w:hAnsi="Arial" w:cs="Arial"/>
        </w:rPr>
        <w:t xml:space="preserve">Jednoznačně byly zamítnuty hypotézy, že by s postavením firmy v GPN souvisela výše přidané hodnoty, personálních nákladů i zisku před zdaněním. </w:t>
      </w:r>
      <w:r w:rsidR="000253DF" w:rsidRPr="0086466C">
        <w:rPr>
          <w:rFonts w:ascii="Arial" w:hAnsi="Arial" w:cs="Arial"/>
        </w:rPr>
        <w:t xml:space="preserve">Určitá </w:t>
      </w:r>
      <w:r w:rsidR="000253DF" w:rsidRPr="0086466C">
        <w:rPr>
          <w:rFonts w:ascii="Arial" w:hAnsi="Arial" w:cs="Arial"/>
          <w:b/>
          <w:bCs/>
        </w:rPr>
        <w:t>závislost by mohla existovat mezi výší obratu a postavením v</w:t>
      </w:r>
      <w:r w:rsidR="00BE15B1" w:rsidRPr="0086466C">
        <w:rPr>
          <w:rFonts w:ascii="Arial" w:hAnsi="Arial" w:cs="Arial"/>
          <w:b/>
          <w:bCs/>
        </w:rPr>
        <w:t> </w:t>
      </w:r>
      <w:r w:rsidR="000253DF" w:rsidRPr="0086466C">
        <w:rPr>
          <w:rFonts w:ascii="Arial" w:hAnsi="Arial" w:cs="Arial"/>
          <w:b/>
          <w:bCs/>
        </w:rPr>
        <w:t>GPN</w:t>
      </w:r>
      <w:r w:rsidR="00BE15B1" w:rsidRPr="0086466C">
        <w:rPr>
          <w:rFonts w:ascii="Arial" w:hAnsi="Arial" w:cs="Arial"/>
        </w:rPr>
        <w:t xml:space="preserve">. Taktéž by </w:t>
      </w:r>
      <w:r w:rsidR="00BE15B1" w:rsidRPr="0086466C">
        <w:rPr>
          <w:rFonts w:ascii="Arial" w:hAnsi="Arial" w:cs="Arial"/>
          <w:b/>
          <w:bCs/>
        </w:rPr>
        <w:t xml:space="preserve">mohla být platná hypotéza o </w:t>
      </w:r>
      <w:r w:rsidR="00BE15B1" w:rsidRPr="0086466C">
        <w:rPr>
          <w:rFonts w:ascii="Arial" w:hAnsi="Arial" w:cs="Arial"/>
          <w:b/>
          <w:bCs/>
        </w:rPr>
        <w:lastRenderedPageBreak/>
        <w:t xml:space="preserve">závislosti </w:t>
      </w:r>
      <w:r w:rsidR="00AA70AA" w:rsidRPr="0086466C">
        <w:rPr>
          <w:rFonts w:ascii="Arial" w:hAnsi="Arial" w:cs="Arial"/>
          <w:b/>
          <w:bCs/>
        </w:rPr>
        <w:t>hodnoty vytvořené s postavením v GPN</w:t>
      </w:r>
      <w:r w:rsidR="00AA70AA" w:rsidRPr="0086466C">
        <w:rPr>
          <w:rFonts w:ascii="Arial" w:hAnsi="Arial" w:cs="Arial"/>
        </w:rPr>
        <w:t>, nicméně i zde je vliv šumu poměrně vysoký (15 %)</w:t>
      </w:r>
      <w:r w:rsidR="004E3BE1" w:rsidRPr="0086466C">
        <w:rPr>
          <w:rFonts w:ascii="Arial" w:hAnsi="Arial" w:cs="Arial"/>
        </w:rPr>
        <w:t xml:space="preserve">. </w:t>
      </w:r>
      <w:r w:rsidR="004E3BE1" w:rsidRPr="0086466C">
        <w:rPr>
          <w:rFonts w:ascii="Arial" w:hAnsi="Arial" w:cs="Arial"/>
          <w:b/>
          <w:bCs/>
        </w:rPr>
        <w:t>Souvislost mezi hodnotou udrženou a postavení</w:t>
      </w:r>
      <w:r w:rsidR="002E79DD" w:rsidRPr="0086466C">
        <w:rPr>
          <w:rFonts w:ascii="Arial" w:hAnsi="Arial" w:cs="Arial"/>
          <w:b/>
          <w:bCs/>
        </w:rPr>
        <w:t>m</w:t>
      </w:r>
      <w:r w:rsidR="004E3BE1" w:rsidRPr="0086466C">
        <w:rPr>
          <w:rFonts w:ascii="Arial" w:hAnsi="Arial" w:cs="Arial"/>
          <w:b/>
          <w:bCs/>
        </w:rPr>
        <w:t xml:space="preserve"> v GPN </w:t>
      </w:r>
      <w:r w:rsidR="00443116" w:rsidRPr="0086466C">
        <w:rPr>
          <w:rFonts w:ascii="Arial" w:hAnsi="Arial" w:cs="Arial"/>
          <w:b/>
          <w:bCs/>
        </w:rPr>
        <w:t>nebyla potvrzena</w:t>
      </w:r>
      <w:r w:rsidR="00443116" w:rsidRPr="0086466C">
        <w:rPr>
          <w:rFonts w:ascii="Arial" w:hAnsi="Arial" w:cs="Arial"/>
        </w:rPr>
        <w:t>.</w:t>
      </w:r>
    </w:p>
    <w:p w14:paraId="0C508CDE" w14:textId="6031A705" w:rsidR="003B56F5" w:rsidRPr="0086466C" w:rsidRDefault="003B56F5" w:rsidP="00503594">
      <w:pPr>
        <w:spacing w:before="120" w:after="0"/>
        <w:jc w:val="both"/>
        <w:rPr>
          <w:rFonts w:ascii="Arial" w:hAnsi="Arial" w:cs="Arial"/>
        </w:rPr>
      </w:pPr>
      <w:r w:rsidRPr="0086466C">
        <w:rPr>
          <w:rFonts w:ascii="Arial" w:hAnsi="Arial" w:cs="Arial"/>
        </w:rPr>
        <w:t xml:space="preserve">Testován byl také </w:t>
      </w:r>
      <w:r w:rsidRPr="0086466C">
        <w:rPr>
          <w:rFonts w:ascii="Arial" w:hAnsi="Arial" w:cs="Arial"/>
          <w:b/>
          <w:bCs/>
        </w:rPr>
        <w:t xml:space="preserve">vztah mezi </w:t>
      </w:r>
      <w:r w:rsidR="000D0487" w:rsidRPr="0086466C">
        <w:rPr>
          <w:rFonts w:ascii="Arial" w:hAnsi="Arial" w:cs="Arial"/>
          <w:b/>
          <w:bCs/>
        </w:rPr>
        <w:t xml:space="preserve">sídlem podniku na úrovni okresu </w:t>
      </w:r>
      <w:r w:rsidR="00582CF0" w:rsidRPr="0086466C">
        <w:rPr>
          <w:rFonts w:ascii="Arial" w:hAnsi="Arial" w:cs="Arial"/>
          <w:b/>
          <w:bCs/>
        </w:rPr>
        <w:t>s jednotlivými ekonomickými ukazateli</w:t>
      </w:r>
      <w:r w:rsidR="00582CF0" w:rsidRPr="0086466C">
        <w:rPr>
          <w:rFonts w:ascii="Arial" w:hAnsi="Arial" w:cs="Arial"/>
        </w:rPr>
        <w:t xml:space="preserve">. Zde se však </w:t>
      </w:r>
      <w:r w:rsidR="00582CF0" w:rsidRPr="0086466C">
        <w:rPr>
          <w:rFonts w:ascii="Arial" w:hAnsi="Arial" w:cs="Arial"/>
          <w:b/>
          <w:bCs/>
        </w:rPr>
        <w:t>nepotvrdila žádná vzájemná souvislost</w:t>
      </w:r>
      <w:r w:rsidR="00582CF0" w:rsidRPr="0086466C">
        <w:rPr>
          <w:rFonts w:ascii="Arial" w:hAnsi="Arial" w:cs="Arial"/>
        </w:rPr>
        <w:t xml:space="preserve"> mezi testovanými jevy</w:t>
      </w:r>
      <w:r w:rsidR="00115FE3" w:rsidRPr="0086466C">
        <w:rPr>
          <w:rFonts w:ascii="Arial" w:hAnsi="Arial" w:cs="Arial"/>
        </w:rPr>
        <w:t xml:space="preserve"> a lze je prohlásit za vzájemně nezávislé.</w:t>
      </w:r>
    </w:p>
    <w:p w14:paraId="4D4257DF" w14:textId="08F414C5" w:rsidR="00443116" w:rsidRPr="0086466C" w:rsidRDefault="005F285C" w:rsidP="00503594">
      <w:pPr>
        <w:spacing w:before="120" w:after="0"/>
        <w:jc w:val="both"/>
        <w:rPr>
          <w:rFonts w:ascii="Arial" w:hAnsi="Arial" w:cs="Arial"/>
        </w:rPr>
      </w:pPr>
      <w:r w:rsidRPr="0086466C">
        <w:rPr>
          <w:rFonts w:ascii="Arial" w:hAnsi="Arial" w:cs="Arial"/>
        </w:rPr>
        <w:t>Následně byla hodnocena závislost ekonomických uka</w:t>
      </w:r>
      <w:r w:rsidR="00894560" w:rsidRPr="0086466C">
        <w:rPr>
          <w:rFonts w:ascii="Arial" w:hAnsi="Arial" w:cs="Arial"/>
        </w:rPr>
        <w:t xml:space="preserve">zatelů s vlastnictvím subjektů. Zde se </w:t>
      </w:r>
      <w:r w:rsidR="00894560" w:rsidRPr="0086466C">
        <w:rPr>
          <w:rFonts w:ascii="Arial" w:hAnsi="Arial" w:cs="Arial"/>
          <w:b/>
          <w:bCs/>
        </w:rPr>
        <w:t>jednoznačně potvrdila hypotéza, že výše obratu souvisí s vlastnictvím</w:t>
      </w:r>
      <w:r w:rsidR="00894560" w:rsidRPr="0086466C">
        <w:rPr>
          <w:rFonts w:ascii="Arial" w:hAnsi="Arial" w:cs="Arial"/>
        </w:rPr>
        <w:t xml:space="preserve">. A skutečně lze konstatovat, že </w:t>
      </w:r>
      <w:r w:rsidR="00C51059" w:rsidRPr="0086466C">
        <w:rPr>
          <w:rFonts w:ascii="Arial" w:hAnsi="Arial" w:cs="Arial"/>
          <w:b/>
          <w:bCs/>
        </w:rPr>
        <w:t>zahraniční subjekty mají obvykle vyšší obrat na zaměstnance</w:t>
      </w:r>
      <w:r w:rsidR="00C51059" w:rsidRPr="0086466C">
        <w:rPr>
          <w:rFonts w:ascii="Arial" w:hAnsi="Arial" w:cs="Arial"/>
        </w:rPr>
        <w:t xml:space="preserve"> než subjekty domácí. </w:t>
      </w:r>
      <w:r w:rsidR="00F11DC3" w:rsidRPr="0086466C">
        <w:rPr>
          <w:rFonts w:ascii="Arial" w:hAnsi="Arial" w:cs="Arial"/>
        </w:rPr>
        <w:t xml:space="preserve">Naopak se nepotvrdila tvrzení, že by s vlastnictvím subjektů souvisela výše přidané hodnoty, personálních nákladů či EBT. </w:t>
      </w:r>
      <w:r w:rsidR="003A1CA1" w:rsidRPr="0086466C">
        <w:rPr>
          <w:rFonts w:ascii="Arial" w:hAnsi="Arial" w:cs="Arial"/>
        </w:rPr>
        <w:t xml:space="preserve">Stejně tak </w:t>
      </w:r>
      <w:r w:rsidR="003A1CA1" w:rsidRPr="0086466C">
        <w:rPr>
          <w:rFonts w:ascii="Arial" w:hAnsi="Arial" w:cs="Arial"/>
          <w:b/>
          <w:bCs/>
        </w:rPr>
        <w:t>nebyl prokázaný vliv vlastnictví na postavení v GPN</w:t>
      </w:r>
      <w:r w:rsidR="003A1CA1" w:rsidRPr="0086466C">
        <w:rPr>
          <w:rFonts w:ascii="Arial" w:hAnsi="Arial" w:cs="Arial"/>
        </w:rPr>
        <w:t>.</w:t>
      </w:r>
    </w:p>
    <w:p w14:paraId="65B2D01D" w14:textId="60F213F4" w:rsidR="003A1CA1" w:rsidRPr="0086466C" w:rsidRDefault="000D0487" w:rsidP="00503594">
      <w:pPr>
        <w:spacing w:before="120" w:after="0"/>
        <w:jc w:val="both"/>
        <w:rPr>
          <w:rFonts w:ascii="Arial" w:hAnsi="Arial" w:cs="Arial"/>
        </w:rPr>
      </w:pPr>
      <w:r w:rsidRPr="0086466C">
        <w:rPr>
          <w:rFonts w:ascii="Arial" w:hAnsi="Arial" w:cs="Arial"/>
        </w:rPr>
        <w:t xml:space="preserve">Další </w:t>
      </w:r>
      <w:r w:rsidR="003A1CA1" w:rsidRPr="0086466C">
        <w:rPr>
          <w:rFonts w:ascii="Arial" w:hAnsi="Arial" w:cs="Arial"/>
        </w:rPr>
        <w:t>skupinou testovaných hypotéz byla tvrzení</w:t>
      </w:r>
      <w:r w:rsidR="00D334DD" w:rsidRPr="0086466C">
        <w:rPr>
          <w:rFonts w:ascii="Arial" w:hAnsi="Arial" w:cs="Arial"/>
        </w:rPr>
        <w:t xml:space="preserve"> o </w:t>
      </w:r>
      <w:r w:rsidR="00D334DD" w:rsidRPr="0086466C">
        <w:rPr>
          <w:rFonts w:ascii="Arial" w:hAnsi="Arial" w:cs="Arial"/>
          <w:b/>
          <w:bCs/>
        </w:rPr>
        <w:t xml:space="preserve">vlivu vlastního </w:t>
      </w:r>
      <w:proofErr w:type="spellStart"/>
      <w:r w:rsidR="00D334DD" w:rsidRPr="0086466C">
        <w:rPr>
          <w:rFonts w:ascii="Arial" w:hAnsi="Arial" w:cs="Arial"/>
          <w:b/>
          <w:bCs/>
        </w:rPr>
        <w:t>VaV</w:t>
      </w:r>
      <w:proofErr w:type="spellEnd"/>
      <w:r w:rsidR="00D334DD" w:rsidRPr="0086466C">
        <w:rPr>
          <w:rFonts w:ascii="Arial" w:hAnsi="Arial" w:cs="Arial"/>
          <w:b/>
          <w:bCs/>
        </w:rPr>
        <w:t xml:space="preserve"> na ekonomické ukazatele</w:t>
      </w:r>
      <w:r w:rsidR="00D334DD" w:rsidRPr="0086466C">
        <w:rPr>
          <w:rFonts w:ascii="Arial" w:hAnsi="Arial" w:cs="Arial"/>
        </w:rPr>
        <w:t xml:space="preserve">. </w:t>
      </w:r>
      <w:r w:rsidR="004F7AC9" w:rsidRPr="0086466C">
        <w:rPr>
          <w:rFonts w:ascii="Arial" w:hAnsi="Arial" w:cs="Arial"/>
        </w:rPr>
        <w:t xml:space="preserve">Zde se potvrdila hypotéza, že </w:t>
      </w:r>
      <w:r w:rsidR="005B26B3" w:rsidRPr="0086466C">
        <w:rPr>
          <w:rFonts w:ascii="Arial" w:hAnsi="Arial" w:cs="Arial"/>
          <w:b/>
          <w:bCs/>
        </w:rPr>
        <w:t xml:space="preserve">s vlastním </w:t>
      </w:r>
      <w:proofErr w:type="spellStart"/>
      <w:r w:rsidR="005B26B3" w:rsidRPr="0086466C">
        <w:rPr>
          <w:rFonts w:ascii="Arial" w:hAnsi="Arial" w:cs="Arial"/>
          <w:b/>
          <w:bCs/>
        </w:rPr>
        <w:t>VaV</w:t>
      </w:r>
      <w:proofErr w:type="spellEnd"/>
      <w:r w:rsidR="005B26B3" w:rsidRPr="0086466C">
        <w:rPr>
          <w:rFonts w:ascii="Arial" w:hAnsi="Arial" w:cs="Arial"/>
          <w:b/>
          <w:bCs/>
        </w:rPr>
        <w:t xml:space="preserve"> souvisí výše zisku před zdaněním</w:t>
      </w:r>
      <w:r w:rsidR="00863C30" w:rsidRPr="0086466C">
        <w:rPr>
          <w:rFonts w:ascii="Arial" w:hAnsi="Arial" w:cs="Arial"/>
        </w:rPr>
        <w:t xml:space="preserve">, případně i </w:t>
      </w:r>
      <w:r w:rsidR="00863C30" w:rsidRPr="0086466C">
        <w:rPr>
          <w:rFonts w:ascii="Arial" w:hAnsi="Arial" w:cs="Arial"/>
          <w:b/>
          <w:bCs/>
        </w:rPr>
        <w:t>medián obratu na zaměstnance</w:t>
      </w:r>
      <w:r w:rsidR="00863C30" w:rsidRPr="0086466C">
        <w:rPr>
          <w:rFonts w:ascii="Arial" w:hAnsi="Arial" w:cs="Arial"/>
        </w:rPr>
        <w:t xml:space="preserve">. </w:t>
      </w:r>
      <w:r w:rsidR="009448EC" w:rsidRPr="0086466C">
        <w:rPr>
          <w:rFonts w:ascii="Arial" w:hAnsi="Arial" w:cs="Arial"/>
        </w:rPr>
        <w:t xml:space="preserve">Překvapivě je však zisk na zaměstnance u podniků s vlastním </w:t>
      </w:r>
      <w:proofErr w:type="spellStart"/>
      <w:r w:rsidR="009448EC" w:rsidRPr="0086466C">
        <w:rPr>
          <w:rFonts w:ascii="Arial" w:hAnsi="Arial" w:cs="Arial"/>
        </w:rPr>
        <w:t>VaV</w:t>
      </w:r>
      <w:proofErr w:type="spellEnd"/>
      <w:r w:rsidR="009448EC" w:rsidRPr="0086466C">
        <w:rPr>
          <w:rFonts w:ascii="Arial" w:hAnsi="Arial" w:cs="Arial"/>
        </w:rPr>
        <w:t xml:space="preserve"> nižší než u firem bez vlastního </w:t>
      </w:r>
      <w:proofErr w:type="spellStart"/>
      <w:r w:rsidR="009448EC" w:rsidRPr="0086466C">
        <w:rPr>
          <w:rFonts w:ascii="Arial" w:hAnsi="Arial" w:cs="Arial"/>
        </w:rPr>
        <w:t>VaV</w:t>
      </w:r>
      <w:proofErr w:type="spellEnd"/>
      <w:r w:rsidR="009448EC" w:rsidRPr="0086466C">
        <w:rPr>
          <w:rFonts w:ascii="Arial" w:hAnsi="Arial" w:cs="Arial"/>
        </w:rPr>
        <w:t xml:space="preserve">. V případě obratu je </w:t>
      </w:r>
      <w:r w:rsidR="00965B11" w:rsidRPr="0086466C">
        <w:rPr>
          <w:rFonts w:ascii="Arial" w:hAnsi="Arial" w:cs="Arial"/>
        </w:rPr>
        <w:t xml:space="preserve">to naopak. Stejně tak byla přijata hypotéza, </w:t>
      </w:r>
      <w:r w:rsidR="00965B11" w:rsidRPr="0086466C">
        <w:rPr>
          <w:rFonts w:ascii="Arial" w:hAnsi="Arial" w:cs="Arial"/>
          <w:b/>
          <w:bCs/>
        </w:rPr>
        <w:t xml:space="preserve">že vlastní </w:t>
      </w:r>
      <w:proofErr w:type="spellStart"/>
      <w:r w:rsidR="00965B11" w:rsidRPr="0086466C">
        <w:rPr>
          <w:rFonts w:ascii="Arial" w:hAnsi="Arial" w:cs="Arial"/>
          <w:b/>
          <w:bCs/>
        </w:rPr>
        <w:t>VaV</w:t>
      </w:r>
      <w:proofErr w:type="spellEnd"/>
      <w:r w:rsidR="00965B11" w:rsidRPr="0086466C">
        <w:rPr>
          <w:rFonts w:ascii="Arial" w:hAnsi="Arial" w:cs="Arial"/>
          <w:b/>
          <w:bCs/>
        </w:rPr>
        <w:t xml:space="preserve"> souvisí s hodnotou udrženou </w:t>
      </w:r>
      <w:r w:rsidR="00012A06" w:rsidRPr="0086466C">
        <w:rPr>
          <w:rFonts w:ascii="Arial" w:hAnsi="Arial" w:cs="Arial"/>
          <w:b/>
          <w:bCs/>
        </w:rPr>
        <w:t>a nejspíše i s hodnotou vytvořenou</w:t>
      </w:r>
      <w:r w:rsidR="00012A06" w:rsidRPr="0086466C">
        <w:rPr>
          <w:rFonts w:ascii="Arial" w:hAnsi="Arial" w:cs="Arial"/>
        </w:rPr>
        <w:t xml:space="preserve">. V obou případech je </w:t>
      </w:r>
      <w:r w:rsidR="00012A06" w:rsidRPr="0086466C">
        <w:rPr>
          <w:rFonts w:ascii="Arial" w:hAnsi="Arial" w:cs="Arial"/>
          <w:b/>
          <w:bCs/>
        </w:rPr>
        <w:t xml:space="preserve">u podniků s vlastním </w:t>
      </w:r>
      <w:proofErr w:type="spellStart"/>
      <w:r w:rsidR="00012A06" w:rsidRPr="0086466C">
        <w:rPr>
          <w:rFonts w:ascii="Arial" w:hAnsi="Arial" w:cs="Arial"/>
          <w:b/>
          <w:bCs/>
        </w:rPr>
        <w:t>VaV</w:t>
      </w:r>
      <w:proofErr w:type="spellEnd"/>
      <w:r w:rsidR="00012A06" w:rsidRPr="0086466C">
        <w:rPr>
          <w:rFonts w:ascii="Arial" w:hAnsi="Arial" w:cs="Arial"/>
          <w:b/>
          <w:bCs/>
        </w:rPr>
        <w:t xml:space="preserve"> hodnota udržená i vytvořená nižší než u subjektů bez vlastního </w:t>
      </w:r>
      <w:proofErr w:type="spellStart"/>
      <w:r w:rsidR="00012A06" w:rsidRPr="0086466C">
        <w:rPr>
          <w:rFonts w:ascii="Arial" w:hAnsi="Arial" w:cs="Arial"/>
          <w:b/>
          <w:bCs/>
        </w:rPr>
        <w:t>VaV</w:t>
      </w:r>
      <w:proofErr w:type="spellEnd"/>
      <w:r w:rsidR="00012A06" w:rsidRPr="0086466C">
        <w:rPr>
          <w:rFonts w:ascii="Arial" w:hAnsi="Arial" w:cs="Arial"/>
        </w:rPr>
        <w:t>.</w:t>
      </w:r>
    </w:p>
    <w:p w14:paraId="7CCD5AD0" w14:textId="5CE778BF" w:rsidR="00582CF0" w:rsidRPr="0086466C" w:rsidRDefault="00582CF0" w:rsidP="00503594">
      <w:pPr>
        <w:spacing w:before="120" w:after="0"/>
        <w:jc w:val="both"/>
        <w:rPr>
          <w:rFonts w:ascii="Arial" w:hAnsi="Arial" w:cs="Arial"/>
        </w:rPr>
      </w:pPr>
      <w:r w:rsidRPr="0086466C">
        <w:rPr>
          <w:rFonts w:ascii="Arial" w:hAnsi="Arial" w:cs="Arial"/>
        </w:rPr>
        <w:t>Poslední testovanou oblastí byla k</w:t>
      </w:r>
      <w:r w:rsidRPr="0086466C">
        <w:rPr>
          <w:rFonts w:ascii="Arial" w:hAnsi="Arial" w:cs="Arial"/>
          <w:b/>
          <w:bCs/>
        </w:rPr>
        <w:t xml:space="preserve">orelace mezi </w:t>
      </w:r>
      <w:r w:rsidR="002A22FC" w:rsidRPr="0086466C">
        <w:rPr>
          <w:rFonts w:ascii="Arial" w:hAnsi="Arial" w:cs="Arial"/>
          <w:b/>
          <w:bCs/>
        </w:rPr>
        <w:t>uplatněním subjektů v jednotlivých klastrech a jejich ekonomickými ukazateli</w:t>
      </w:r>
      <w:r w:rsidR="002A22FC" w:rsidRPr="0086466C">
        <w:rPr>
          <w:rFonts w:ascii="Arial" w:hAnsi="Arial" w:cs="Arial"/>
        </w:rPr>
        <w:t xml:space="preserve">. </w:t>
      </w:r>
      <w:r w:rsidR="00714337" w:rsidRPr="0086466C">
        <w:rPr>
          <w:rFonts w:ascii="Arial" w:hAnsi="Arial" w:cs="Arial"/>
        </w:rPr>
        <w:t xml:space="preserve">Vzhledem k vysokému počtu klastrů (13) se však </w:t>
      </w:r>
      <w:r w:rsidR="00714337" w:rsidRPr="0086466C">
        <w:rPr>
          <w:rFonts w:ascii="Arial" w:hAnsi="Arial" w:cs="Arial"/>
          <w:b/>
          <w:bCs/>
        </w:rPr>
        <w:t xml:space="preserve">testovaný soubor rozdrobil do </w:t>
      </w:r>
      <w:r w:rsidR="0014762B" w:rsidRPr="0086466C">
        <w:rPr>
          <w:rFonts w:ascii="Arial" w:hAnsi="Arial" w:cs="Arial"/>
          <w:b/>
          <w:bCs/>
        </w:rPr>
        <w:t>málo početných skupin</w:t>
      </w:r>
      <w:r w:rsidR="0014762B" w:rsidRPr="0086466C">
        <w:rPr>
          <w:rFonts w:ascii="Arial" w:hAnsi="Arial" w:cs="Arial"/>
        </w:rPr>
        <w:t xml:space="preserve"> a pro takto malé soubory jsou výsledky testování hypotéz velmi nespolehlivé</w:t>
      </w:r>
      <w:r w:rsidR="00397FC1" w:rsidRPr="0086466C">
        <w:rPr>
          <w:rFonts w:ascii="Arial" w:hAnsi="Arial" w:cs="Arial"/>
        </w:rPr>
        <w:t xml:space="preserve"> a nelze </w:t>
      </w:r>
      <w:r w:rsidR="00F55842" w:rsidRPr="0086466C">
        <w:rPr>
          <w:rFonts w:ascii="Arial" w:hAnsi="Arial" w:cs="Arial"/>
        </w:rPr>
        <w:t>stanovit jednoznačné závěry.</w:t>
      </w:r>
    </w:p>
    <w:p w14:paraId="2B414175" w14:textId="57AAABA5" w:rsidR="007A3F52" w:rsidRPr="0086466C" w:rsidRDefault="00CA1AB1" w:rsidP="00503594">
      <w:pPr>
        <w:spacing w:before="120" w:after="0"/>
        <w:jc w:val="both"/>
        <w:rPr>
          <w:rFonts w:ascii="Arial" w:hAnsi="Arial" w:cs="Arial"/>
        </w:rPr>
      </w:pPr>
      <w:r w:rsidRPr="0086466C">
        <w:rPr>
          <w:rFonts w:ascii="Arial" w:hAnsi="Arial" w:cs="Arial"/>
        </w:rPr>
        <w:t>Pro ověření správnosti</w:t>
      </w:r>
      <w:r w:rsidR="00BE3CFC" w:rsidRPr="0086466C">
        <w:rPr>
          <w:rFonts w:ascii="Arial" w:hAnsi="Arial" w:cs="Arial"/>
        </w:rPr>
        <w:t xml:space="preserve"> těchto závěrů, které do velké míry popírají souvislost mezi postavením firem v GPN a jejich ekonomickými charakteristikami</w:t>
      </w:r>
      <w:r w:rsidR="00F02F6E" w:rsidRPr="0086466C">
        <w:rPr>
          <w:rFonts w:ascii="Arial" w:hAnsi="Arial" w:cs="Arial"/>
        </w:rPr>
        <w:t>,</w:t>
      </w:r>
      <w:r w:rsidR="00BE3CFC" w:rsidRPr="0086466C">
        <w:rPr>
          <w:rFonts w:ascii="Arial" w:hAnsi="Arial" w:cs="Arial"/>
        </w:rPr>
        <w:t xml:space="preserve"> byly použity také </w:t>
      </w:r>
      <w:r w:rsidR="00BE3CFC" w:rsidRPr="0086466C">
        <w:rPr>
          <w:rFonts w:ascii="Arial" w:hAnsi="Arial" w:cs="Arial"/>
          <w:b/>
          <w:bCs/>
        </w:rPr>
        <w:t xml:space="preserve">metody </w:t>
      </w:r>
      <w:r w:rsidR="00F02F6E" w:rsidRPr="0086466C">
        <w:rPr>
          <w:rFonts w:ascii="Arial" w:hAnsi="Arial" w:cs="Arial"/>
          <w:b/>
          <w:bCs/>
        </w:rPr>
        <w:t>shlukové analýzy</w:t>
      </w:r>
      <w:r w:rsidR="00F02F6E" w:rsidRPr="0086466C">
        <w:rPr>
          <w:rFonts w:ascii="Arial" w:hAnsi="Arial" w:cs="Arial"/>
        </w:rPr>
        <w:t xml:space="preserve">. Základním principem shlukování je hledání </w:t>
      </w:r>
      <w:r w:rsidR="00335F9C" w:rsidRPr="0086466C">
        <w:rPr>
          <w:rFonts w:ascii="Arial" w:hAnsi="Arial" w:cs="Arial"/>
        </w:rPr>
        <w:t>takových skupin, v nichž jsou si jednotlivé prvky co nejvíce podobné a tyto pak vytváří jednotlivé shluky (či klastry).</w:t>
      </w:r>
      <w:r w:rsidR="00AF3FAC" w:rsidRPr="0086466C">
        <w:rPr>
          <w:rFonts w:ascii="Arial" w:hAnsi="Arial" w:cs="Arial"/>
        </w:rPr>
        <w:t xml:space="preserve"> Ačkoliv se jedná o poměrně robustní matematický aparát</w:t>
      </w:r>
      <w:r w:rsidR="007A3F52" w:rsidRPr="0086466C">
        <w:rPr>
          <w:rFonts w:ascii="Arial" w:hAnsi="Arial" w:cs="Arial"/>
        </w:rPr>
        <w:t xml:space="preserve">, nepodařilo se najít uspokojivý výsledek, který by </w:t>
      </w:r>
      <w:r w:rsidR="0080663F" w:rsidRPr="0086466C">
        <w:rPr>
          <w:rFonts w:ascii="Arial" w:hAnsi="Arial" w:cs="Arial"/>
        </w:rPr>
        <w:t xml:space="preserve">průkazně potvrdil některý ze závěrů, které </w:t>
      </w:r>
      <w:r w:rsidR="00BB6E74" w:rsidRPr="0086466C">
        <w:rPr>
          <w:rFonts w:ascii="Arial" w:hAnsi="Arial" w:cs="Arial"/>
        </w:rPr>
        <w:t>přinesl ve své práci prof. Blažek při výzkumu 300 největších firem v České republice.</w:t>
      </w:r>
    </w:p>
    <w:p w14:paraId="09055B9F" w14:textId="4D13ECD6" w:rsidR="00CA1AB1" w:rsidRPr="0086466C" w:rsidRDefault="00684FBC" w:rsidP="00503594">
      <w:pPr>
        <w:spacing w:before="120" w:after="0"/>
        <w:jc w:val="both"/>
        <w:rPr>
          <w:rFonts w:ascii="Arial" w:hAnsi="Arial" w:cs="Arial"/>
        </w:rPr>
      </w:pPr>
      <w:r w:rsidRPr="0086466C">
        <w:rPr>
          <w:rFonts w:ascii="Arial" w:hAnsi="Arial" w:cs="Arial"/>
          <w:b/>
          <w:bCs/>
        </w:rPr>
        <w:t>Vzhledem k</w:t>
      </w:r>
      <w:r w:rsidR="002F171F" w:rsidRPr="0086466C">
        <w:rPr>
          <w:rFonts w:ascii="Arial" w:hAnsi="Arial" w:cs="Arial"/>
          <w:b/>
          <w:bCs/>
        </w:rPr>
        <w:t> velké různorodosti ekonomických subjektů</w:t>
      </w:r>
      <w:r w:rsidR="00956ABC" w:rsidRPr="0086466C">
        <w:rPr>
          <w:rFonts w:ascii="Arial" w:hAnsi="Arial" w:cs="Arial"/>
          <w:b/>
          <w:bCs/>
        </w:rPr>
        <w:t xml:space="preserve"> v Plzeňském kraji</w:t>
      </w:r>
      <w:r w:rsidR="002F171F" w:rsidRPr="0086466C">
        <w:rPr>
          <w:rFonts w:ascii="Arial" w:hAnsi="Arial" w:cs="Arial"/>
          <w:b/>
          <w:bCs/>
        </w:rPr>
        <w:t xml:space="preserve"> však ani metody shlukové analýzy nevedly k přesvědčivým výsledkům</w:t>
      </w:r>
      <w:r w:rsidR="002F171F" w:rsidRPr="0086466C">
        <w:rPr>
          <w:rFonts w:ascii="Arial" w:hAnsi="Arial" w:cs="Arial"/>
        </w:rPr>
        <w:t>, ze kterých by bylo možné vyvodit jednoznačné závěry</w:t>
      </w:r>
      <w:r w:rsidR="00691ADF" w:rsidRPr="0086466C">
        <w:rPr>
          <w:rFonts w:ascii="Arial" w:hAnsi="Arial" w:cs="Arial"/>
        </w:rPr>
        <w:t xml:space="preserve">. </w:t>
      </w:r>
    </w:p>
    <w:p w14:paraId="43CBF674" w14:textId="05929165" w:rsidR="00C833FE" w:rsidRPr="0086466C" w:rsidRDefault="00C833FE">
      <w:pPr>
        <w:rPr>
          <w:rFonts w:ascii="Arial" w:hAnsi="Arial" w:cs="Arial"/>
        </w:rPr>
      </w:pPr>
      <w:r w:rsidRPr="0086466C">
        <w:rPr>
          <w:rFonts w:ascii="Arial" w:hAnsi="Arial" w:cs="Arial"/>
        </w:rPr>
        <w:br w:type="page"/>
      </w:r>
    </w:p>
    <w:p w14:paraId="62E08FAE" w14:textId="02382DE1" w:rsidR="00762736" w:rsidRPr="0086466C" w:rsidRDefault="00C833FE" w:rsidP="00365237">
      <w:pPr>
        <w:pStyle w:val="Nadpis1"/>
        <w:numPr>
          <w:ilvl w:val="0"/>
          <w:numId w:val="27"/>
        </w:numPr>
        <w:spacing w:before="120" w:after="0"/>
        <w:rPr>
          <w:rFonts w:ascii="Arial" w:hAnsi="Arial" w:cs="Arial"/>
          <w:b/>
          <w:bCs/>
          <w:color w:val="auto"/>
          <w:sz w:val="26"/>
          <w:szCs w:val="26"/>
        </w:rPr>
      </w:pPr>
      <w:bookmarkStart w:id="8" w:name="_Toc184799885"/>
      <w:r w:rsidRPr="0086466C">
        <w:rPr>
          <w:rFonts w:ascii="Arial" w:hAnsi="Arial" w:cs="Arial"/>
          <w:b/>
          <w:bCs/>
          <w:color w:val="auto"/>
          <w:sz w:val="26"/>
          <w:szCs w:val="26"/>
        </w:rPr>
        <w:lastRenderedPageBreak/>
        <w:t>Shrnutí výsledků</w:t>
      </w:r>
      <w:bookmarkEnd w:id="8"/>
    </w:p>
    <w:p w14:paraId="34DC6A73" w14:textId="612E82D8" w:rsidR="00266520" w:rsidRPr="0086466C" w:rsidRDefault="00266520" w:rsidP="00266520">
      <w:pPr>
        <w:spacing w:before="120" w:after="0"/>
        <w:jc w:val="both"/>
        <w:rPr>
          <w:rFonts w:ascii="Arial" w:hAnsi="Arial" w:cs="Arial"/>
        </w:rPr>
      </w:pPr>
      <w:r w:rsidRPr="0086466C">
        <w:rPr>
          <w:rFonts w:ascii="Arial" w:hAnsi="Arial" w:cs="Arial"/>
        </w:rPr>
        <w:t xml:space="preserve">Výsledky analýzy </w:t>
      </w:r>
      <w:r w:rsidR="00CA5714" w:rsidRPr="0086466C">
        <w:rPr>
          <w:rFonts w:ascii="Arial" w:hAnsi="Arial" w:cs="Arial"/>
        </w:rPr>
        <w:t>postavení ekonomických</w:t>
      </w:r>
      <w:r w:rsidRPr="0086466C">
        <w:rPr>
          <w:rFonts w:ascii="Arial" w:hAnsi="Arial" w:cs="Arial"/>
        </w:rPr>
        <w:t xml:space="preserve"> subjektů se sídlem v Plzeňském kraji</w:t>
      </w:r>
      <w:r w:rsidR="00CA5714" w:rsidRPr="0086466C">
        <w:rPr>
          <w:rFonts w:ascii="Arial" w:hAnsi="Arial" w:cs="Arial"/>
        </w:rPr>
        <w:t xml:space="preserve"> v globálních produkčních sítích</w:t>
      </w:r>
      <w:r w:rsidRPr="0086466C">
        <w:rPr>
          <w:rFonts w:ascii="Arial" w:hAnsi="Arial" w:cs="Arial"/>
        </w:rPr>
        <w:t xml:space="preserve"> lze shrnout do následujících </w:t>
      </w:r>
      <w:r w:rsidR="00F513AB" w:rsidRPr="0086466C">
        <w:rPr>
          <w:rFonts w:ascii="Arial" w:hAnsi="Arial" w:cs="Arial"/>
        </w:rPr>
        <w:t>poznatků</w:t>
      </w:r>
      <w:r w:rsidRPr="0086466C">
        <w:rPr>
          <w:rFonts w:ascii="Arial" w:hAnsi="Arial" w:cs="Arial"/>
        </w:rPr>
        <w:t>:</w:t>
      </w:r>
    </w:p>
    <w:p w14:paraId="04A057DD" w14:textId="6DC68ED9" w:rsidR="00CA5714" w:rsidRPr="0086466C" w:rsidRDefault="00CA5714" w:rsidP="00C14619">
      <w:pPr>
        <w:pStyle w:val="Odstavecseseznamem"/>
        <w:numPr>
          <w:ilvl w:val="0"/>
          <w:numId w:val="1"/>
        </w:numPr>
        <w:spacing w:before="120" w:after="0"/>
        <w:ind w:left="425" w:hanging="357"/>
        <w:contextualSpacing w:val="0"/>
        <w:jc w:val="both"/>
        <w:rPr>
          <w:rFonts w:ascii="Arial" w:hAnsi="Arial" w:cs="Arial"/>
        </w:rPr>
      </w:pPr>
      <w:r w:rsidRPr="0086466C">
        <w:rPr>
          <w:rFonts w:ascii="Arial" w:hAnsi="Arial" w:cs="Arial"/>
        </w:rPr>
        <w:t xml:space="preserve">V Plzeňském kraji </w:t>
      </w:r>
      <w:r w:rsidR="0068209B" w:rsidRPr="0086466C">
        <w:rPr>
          <w:rFonts w:ascii="Arial" w:hAnsi="Arial" w:cs="Arial"/>
        </w:rPr>
        <w:t>působí</w:t>
      </w:r>
      <w:r w:rsidRPr="0086466C">
        <w:rPr>
          <w:rFonts w:ascii="Arial" w:hAnsi="Arial" w:cs="Arial"/>
        </w:rPr>
        <w:t xml:space="preserve"> pouze 3 tuzemské vedoucí firmy</w:t>
      </w:r>
      <w:r w:rsidR="0068209B" w:rsidRPr="0086466C">
        <w:rPr>
          <w:rFonts w:ascii="Arial" w:hAnsi="Arial" w:cs="Arial"/>
        </w:rPr>
        <w:t>, všechny navíc mají sídlo v okrese Plzeň – město</w:t>
      </w:r>
      <w:r w:rsidR="008304EC" w:rsidRPr="0086466C">
        <w:rPr>
          <w:rFonts w:ascii="Arial" w:hAnsi="Arial" w:cs="Arial"/>
        </w:rPr>
        <w:t>.</w:t>
      </w:r>
    </w:p>
    <w:p w14:paraId="190F5159" w14:textId="72229490" w:rsidR="0068209B" w:rsidRPr="0086466C" w:rsidRDefault="00F4025D" w:rsidP="00C14619">
      <w:pPr>
        <w:pStyle w:val="Odstavecseseznamem"/>
        <w:numPr>
          <w:ilvl w:val="0"/>
          <w:numId w:val="1"/>
        </w:numPr>
        <w:spacing w:before="120" w:after="0"/>
        <w:ind w:left="425" w:hanging="357"/>
        <w:contextualSpacing w:val="0"/>
        <w:jc w:val="both"/>
        <w:rPr>
          <w:rFonts w:ascii="Arial" w:hAnsi="Arial" w:cs="Arial"/>
        </w:rPr>
      </w:pPr>
      <w:r w:rsidRPr="0086466C">
        <w:rPr>
          <w:rFonts w:ascii="Arial" w:hAnsi="Arial" w:cs="Arial"/>
        </w:rPr>
        <w:t>P</w:t>
      </w:r>
      <w:r w:rsidR="0068209B" w:rsidRPr="0086466C">
        <w:rPr>
          <w:rFonts w:ascii="Arial" w:hAnsi="Arial" w:cs="Arial"/>
        </w:rPr>
        <w:t>oboč</w:t>
      </w:r>
      <w:r w:rsidRPr="0086466C">
        <w:rPr>
          <w:rFonts w:ascii="Arial" w:hAnsi="Arial" w:cs="Arial"/>
        </w:rPr>
        <w:t>ek</w:t>
      </w:r>
      <w:r w:rsidR="0068209B" w:rsidRPr="0086466C">
        <w:rPr>
          <w:rFonts w:ascii="Arial" w:hAnsi="Arial" w:cs="Arial"/>
        </w:rPr>
        <w:t xml:space="preserve"> zahraničních vedoucích firem najdeme v kraji celkem 24</w:t>
      </w:r>
      <w:r w:rsidR="00EE0BDA" w:rsidRPr="0086466C">
        <w:rPr>
          <w:rFonts w:ascii="Arial" w:hAnsi="Arial" w:cs="Arial"/>
        </w:rPr>
        <w:t xml:space="preserve"> a kromě okresu Plzeň – jih </w:t>
      </w:r>
      <w:r w:rsidR="009C55D8" w:rsidRPr="0086466C">
        <w:rPr>
          <w:rFonts w:ascii="Arial" w:hAnsi="Arial" w:cs="Arial"/>
        </w:rPr>
        <w:t>sídlí ve všech regionech</w:t>
      </w:r>
      <w:r w:rsidRPr="0086466C">
        <w:rPr>
          <w:rFonts w:ascii="Arial" w:hAnsi="Arial" w:cs="Arial"/>
        </w:rPr>
        <w:t>.</w:t>
      </w:r>
    </w:p>
    <w:p w14:paraId="1DE15BC6" w14:textId="4D61254E" w:rsidR="009C55D8" w:rsidRPr="0086466C" w:rsidRDefault="00F4025D" w:rsidP="00C14619">
      <w:pPr>
        <w:pStyle w:val="Odstavecseseznamem"/>
        <w:numPr>
          <w:ilvl w:val="0"/>
          <w:numId w:val="1"/>
        </w:numPr>
        <w:spacing w:before="120" w:after="0"/>
        <w:ind w:left="425" w:hanging="357"/>
        <w:contextualSpacing w:val="0"/>
        <w:jc w:val="both"/>
        <w:rPr>
          <w:rFonts w:ascii="Arial" w:hAnsi="Arial" w:cs="Arial"/>
        </w:rPr>
      </w:pPr>
      <w:r w:rsidRPr="0086466C">
        <w:rPr>
          <w:rFonts w:ascii="Arial" w:hAnsi="Arial" w:cs="Arial"/>
        </w:rPr>
        <w:t>D</w:t>
      </w:r>
      <w:r w:rsidR="009C55D8" w:rsidRPr="0086466C">
        <w:rPr>
          <w:rFonts w:ascii="Arial" w:hAnsi="Arial" w:cs="Arial"/>
        </w:rPr>
        <w:t xml:space="preserve">odavatelů 1. řádu je v Plzeňském kraji pouze 14 a </w:t>
      </w:r>
      <w:r w:rsidR="00B444BD" w:rsidRPr="0086466C">
        <w:rPr>
          <w:rFonts w:ascii="Arial" w:hAnsi="Arial" w:cs="Arial"/>
        </w:rPr>
        <w:t xml:space="preserve">koncentrují se hlavně v okresech Plzeň – město, Plzeň – sever a Plzeň </w:t>
      </w:r>
      <w:r w:rsidR="00995647" w:rsidRPr="0086466C">
        <w:rPr>
          <w:rFonts w:ascii="Arial" w:hAnsi="Arial" w:cs="Arial"/>
        </w:rPr>
        <w:t>–</w:t>
      </w:r>
      <w:r w:rsidR="00B444BD" w:rsidRPr="0086466C">
        <w:rPr>
          <w:rFonts w:ascii="Arial" w:hAnsi="Arial" w:cs="Arial"/>
        </w:rPr>
        <w:t xml:space="preserve"> jih</w:t>
      </w:r>
      <w:r w:rsidRPr="0086466C">
        <w:rPr>
          <w:rFonts w:ascii="Arial" w:hAnsi="Arial" w:cs="Arial"/>
        </w:rPr>
        <w:t>.</w:t>
      </w:r>
    </w:p>
    <w:p w14:paraId="759AD185" w14:textId="588612BE" w:rsidR="00995647" w:rsidRPr="0086466C" w:rsidRDefault="00F4025D" w:rsidP="00C14619">
      <w:pPr>
        <w:pStyle w:val="Odstavecseseznamem"/>
        <w:numPr>
          <w:ilvl w:val="0"/>
          <w:numId w:val="1"/>
        </w:numPr>
        <w:spacing w:before="120" w:after="0"/>
        <w:ind w:left="425" w:hanging="357"/>
        <w:contextualSpacing w:val="0"/>
        <w:jc w:val="both"/>
        <w:rPr>
          <w:rFonts w:ascii="Arial" w:hAnsi="Arial" w:cs="Arial"/>
        </w:rPr>
      </w:pPr>
      <w:r w:rsidRPr="0086466C">
        <w:rPr>
          <w:rFonts w:ascii="Arial" w:hAnsi="Arial" w:cs="Arial"/>
        </w:rPr>
        <w:t>D</w:t>
      </w:r>
      <w:r w:rsidR="00995647" w:rsidRPr="0086466C">
        <w:rPr>
          <w:rFonts w:ascii="Arial" w:hAnsi="Arial" w:cs="Arial"/>
        </w:rPr>
        <w:t>odavatelé nižších řádů jsou pak celkem rovnoměrně rozloženi ve všech okresech kraje</w:t>
      </w:r>
      <w:r w:rsidR="00B03162" w:rsidRPr="0086466C">
        <w:rPr>
          <w:rFonts w:ascii="Arial" w:hAnsi="Arial" w:cs="Arial"/>
        </w:rPr>
        <w:t xml:space="preserve"> se silným zastoupením na Tachovsku</w:t>
      </w:r>
      <w:r w:rsidRPr="0086466C">
        <w:rPr>
          <w:rFonts w:ascii="Arial" w:hAnsi="Arial" w:cs="Arial"/>
        </w:rPr>
        <w:t>.</w:t>
      </w:r>
    </w:p>
    <w:p w14:paraId="57ED8B80" w14:textId="29EF427B" w:rsidR="00B03162" w:rsidRPr="0086466C" w:rsidRDefault="00F4025D" w:rsidP="00C14619">
      <w:pPr>
        <w:pStyle w:val="Odstavecseseznamem"/>
        <w:numPr>
          <w:ilvl w:val="0"/>
          <w:numId w:val="1"/>
        </w:numPr>
        <w:spacing w:before="120" w:after="0"/>
        <w:ind w:left="425" w:hanging="357"/>
        <w:contextualSpacing w:val="0"/>
        <w:jc w:val="both"/>
        <w:rPr>
          <w:rFonts w:ascii="Arial" w:hAnsi="Arial" w:cs="Arial"/>
        </w:rPr>
      </w:pPr>
      <w:r w:rsidRPr="0086466C">
        <w:rPr>
          <w:rFonts w:ascii="Arial" w:hAnsi="Arial" w:cs="Arial"/>
        </w:rPr>
        <w:t>M</w:t>
      </w:r>
      <w:r w:rsidR="00B03162" w:rsidRPr="0086466C">
        <w:rPr>
          <w:rFonts w:ascii="Arial" w:hAnsi="Arial" w:cs="Arial"/>
        </w:rPr>
        <w:t xml:space="preserve">imo GPN v Plzeňském kraji působí celkem </w:t>
      </w:r>
      <w:r w:rsidR="004C78D6" w:rsidRPr="0086466C">
        <w:rPr>
          <w:rFonts w:ascii="Arial" w:hAnsi="Arial" w:cs="Arial"/>
        </w:rPr>
        <w:t xml:space="preserve">102 subjektů, z nichž </w:t>
      </w:r>
      <w:r w:rsidR="00A87AF4" w:rsidRPr="0086466C">
        <w:rPr>
          <w:rFonts w:ascii="Arial" w:hAnsi="Arial" w:cs="Arial"/>
        </w:rPr>
        <w:t>ovšem většina (78) má přístup na koncový trh</w:t>
      </w:r>
      <w:r w:rsidRPr="0086466C">
        <w:rPr>
          <w:rFonts w:ascii="Arial" w:hAnsi="Arial" w:cs="Arial"/>
        </w:rPr>
        <w:t>.</w:t>
      </w:r>
    </w:p>
    <w:p w14:paraId="391F54EE" w14:textId="6D697755" w:rsidR="00A87AF4" w:rsidRPr="0086466C" w:rsidRDefault="00F4025D" w:rsidP="00C14619">
      <w:pPr>
        <w:pStyle w:val="Odstavecseseznamem"/>
        <w:numPr>
          <w:ilvl w:val="0"/>
          <w:numId w:val="1"/>
        </w:numPr>
        <w:spacing w:before="120" w:after="0"/>
        <w:ind w:left="425" w:hanging="357"/>
        <w:contextualSpacing w:val="0"/>
        <w:jc w:val="both"/>
        <w:rPr>
          <w:rFonts w:ascii="Arial" w:hAnsi="Arial" w:cs="Arial"/>
        </w:rPr>
      </w:pPr>
      <w:r w:rsidRPr="0086466C">
        <w:rPr>
          <w:rFonts w:ascii="Arial" w:hAnsi="Arial" w:cs="Arial"/>
        </w:rPr>
        <w:t>M</w:t>
      </w:r>
      <w:r w:rsidR="00B91FE1" w:rsidRPr="0086466C">
        <w:rPr>
          <w:rFonts w:ascii="Arial" w:hAnsi="Arial" w:cs="Arial"/>
        </w:rPr>
        <w:t xml:space="preserve">ezi subjekty stojícími mimo GPN převládají domácí firmy </w:t>
      </w:r>
      <w:r w:rsidR="008269B7" w:rsidRPr="0086466C">
        <w:rPr>
          <w:rFonts w:ascii="Arial" w:hAnsi="Arial" w:cs="Arial"/>
        </w:rPr>
        <w:t>(2/3 subjektů)</w:t>
      </w:r>
      <w:r w:rsidR="002B11C9" w:rsidRPr="0086466C">
        <w:rPr>
          <w:rFonts w:ascii="Arial" w:hAnsi="Arial" w:cs="Arial"/>
        </w:rPr>
        <w:t>, zejména pak mezi podniky s přístupem na koncový trh (</w:t>
      </w:r>
      <w:r w:rsidR="005C53E4" w:rsidRPr="0086466C">
        <w:rPr>
          <w:rFonts w:ascii="Arial" w:hAnsi="Arial" w:cs="Arial"/>
        </w:rPr>
        <w:t>88 %)</w:t>
      </w:r>
      <w:r w:rsidR="003C04D4" w:rsidRPr="0086466C">
        <w:rPr>
          <w:rFonts w:ascii="Arial" w:hAnsi="Arial" w:cs="Arial"/>
        </w:rPr>
        <w:t>.</w:t>
      </w:r>
    </w:p>
    <w:p w14:paraId="73EE01E8" w14:textId="75D89EE4" w:rsidR="005C53E4" w:rsidRPr="0086466C" w:rsidRDefault="003C04D4" w:rsidP="00C14619">
      <w:pPr>
        <w:pStyle w:val="Odstavecseseznamem"/>
        <w:numPr>
          <w:ilvl w:val="0"/>
          <w:numId w:val="1"/>
        </w:numPr>
        <w:spacing w:before="120" w:after="0"/>
        <w:ind w:left="425" w:hanging="357"/>
        <w:contextualSpacing w:val="0"/>
        <w:jc w:val="both"/>
        <w:rPr>
          <w:rFonts w:ascii="Arial" w:hAnsi="Arial" w:cs="Arial"/>
        </w:rPr>
      </w:pPr>
      <w:r w:rsidRPr="0086466C">
        <w:rPr>
          <w:rFonts w:ascii="Arial" w:hAnsi="Arial" w:cs="Arial"/>
        </w:rPr>
        <w:t>M</w:t>
      </w:r>
      <w:r w:rsidR="006E7C13" w:rsidRPr="0086466C">
        <w:rPr>
          <w:rFonts w:ascii="Arial" w:hAnsi="Arial" w:cs="Arial"/>
        </w:rPr>
        <w:t>ezi subjekty zapojenými do GPN najdeme tuzemské firmy hlavně v</w:t>
      </w:r>
      <w:r w:rsidR="00330088" w:rsidRPr="0086466C">
        <w:rPr>
          <w:rFonts w:ascii="Arial" w:hAnsi="Arial" w:cs="Arial"/>
        </w:rPr>
        <w:t> nejméně výhodné</w:t>
      </w:r>
      <w:r w:rsidR="006E7C13" w:rsidRPr="0086466C">
        <w:rPr>
          <w:rFonts w:ascii="Arial" w:hAnsi="Arial" w:cs="Arial"/>
        </w:rPr>
        <w:t> pozici dodavatelů 3. řádu</w:t>
      </w:r>
      <w:r w:rsidRPr="0086466C">
        <w:rPr>
          <w:rFonts w:ascii="Arial" w:hAnsi="Arial" w:cs="Arial"/>
        </w:rPr>
        <w:t>.</w:t>
      </w:r>
    </w:p>
    <w:p w14:paraId="77EC6208" w14:textId="52610019" w:rsidR="00330088" w:rsidRPr="0086466C" w:rsidRDefault="003C04D4" w:rsidP="00C14619">
      <w:pPr>
        <w:pStyle w:val="Odstavecseseznamem"/>
        <w:numPr>
          <w:ilvl w:val="0"/>
          <w:numId w:val="1"/>
        </w:numPr>
        <w:spacing w:before="120" w:after="0"/>
        <w:ind w:left="425" w:hanging="357"/>
        <w:contextualSpacing w:val="0"/>
        <w:jc w:val="both"/>
        <w:rPr>
          <w:rFonts w:ascii="Arial" w:hAnsi="Arial" w:cs="Arial"/>
        </w:rPr>
      </w:pPr>
      <w:r w:rsidRPr="0086466C">
        <w:rPr>
          <w:rFonts w:ascii="Arial" w:hAnsi="Arial" w:cs="Arial"/>
        </w:rPr>
        <w:t>O</w:t>
      </w:r>
      <w:r w:rsidR="000C7C44" w:rsidRPr="0086466C">
        <w:rPr>
          <w:rFonts w:ascii="Arial" w:hAnsi="Arial" w:cs="Arial"/>
        </w:rPr>
        <w:t xml:space="preserve">becně jsou podniky zapojené do GPN </w:t>
      </w:r>
      <w:r w:rsidR="005941F1" w:rsidRPr="0086466C">
        <w:rPr>
          <w:rFonts w:ascii="Arial" w:hAnsi="Arial" w:cs="Arial"/>
        </w:rPr>
        <w:t xml:space="preserve">větší z hlediska počtu zaměstnanců než firmy stojící mimo GPN, které jsou tvořeny </w:t>
      </w:r>
      <w:r w:rsidR="00C6797E" w:rsidRPr="0086466C">
        <w:rPr>
          <w:rFonts w:ascii="Arial" w:hAnsi="Arial" w:cs="Arial"/>
        </w:rPr>
        <w:t xml:space="preserve">zejm. </w:t>
      </w:r>
      <w:r w:rsidR="005941F1" w:rsidRPr="0086466C">
        <w:rPr>
          <w:rFonts w:ascii="Arial" w:hAnsi="Arial" w:cs="Arial"/>
        </w:rPr>
        <w:t>malými a středními podniky do 250 zaměstnanců</w:t>
      </w:r>
      <w:r w:rsidR="00BD4FC7" w:rsidRPr="0086466C">
        <w:rPr>
          <w:rFonts w:ascii="Arial" w:hAnsi="Arial" w:cs="Arial"/>
        </w:rPr>
        <w:t>.</w:t>
      </w:r>
    </w:p>
    <w:p w14:paraId="53A437E1" w14:textId="2326692A" w:rsidR="00762EE4" w:rsidRPr="0086466C" w:rsidRDefault="00BD4FC7" w:rsidP="00C14619">
      <w:pPr>
        <w:pStyle w:val="Odstavecseseznamem"/>
        <w:numPr>
          <w:ilvl w:val="0"/>
          <w:numId w:val="1"/>
        </w:numPr>
        <w:spacing w:before="120" w:after="0"/>
        <w:ind w:left="425" w:hanging="357"/>
        <w:contextualSpacing w:val="0"/>
        <w:jc w:val="both"/>
        <w:rPr>
          <w:rFonts w:ascii="Arial" w:hAnsi="Arial" w:cs="Arial"/>
        </w:rPr>
      </w:pPr>
      <w:r w:rsidRPr="0086466C">
        <w:rPr>
          <w:rFonts w:ascii="Arial" w:hAnsi="Arial" w:cs="Arial"/>
        </w:rPr>
        <w:t>P</w:t>
      </w:r>
      <w:r w:rsidR="00762EE4" w:rsidRPr="0086466C">
        <w:rPr>
          <w:rFonts w:ascii="Arial" w:hAnsi="Arial" w:cs="Arial"/>
        </w:rPr>
        <w:t>odniky s více než 1 000 zaměstnanc</w:t>
      </w:r>
      <w:r w:rsidRPr="0086466C">
        <w:rPr>
          <w:rFonts w:ascii="Arial" w:hAnsi="Arial" w:cs="Arial"/>
        </w:rPr>
        <w:t>i</w:t>
      </w:r>
      <w:r w:rsidR="00762EE4" w:rsidRPr="0086466C">
        <w:rPr>
          <w:rFonts w:ascii="Arial" w:hAnsi="Arial" w:cs="Arial"/>
        </w:rPr>
        <w:t xml:space="preserve"> jsou hlavně v pozicích dodavatelů 1. řádu a vedoucích firem</w:t>
      </w:r>
      <w:r w:rsidR="001E7113" w:rsidRPr="0086466C">
        <w:rPr>
          <w:rFonts w:ascii="Arial" w:hAnsi="Arial" w:cs="Arial"/>
        </w:rPr>
        <w:t>, najdeme však v této kategorii i několik dodavatelů 2. řádu</w:t>
      </w:r>
      <w:r w:rsidRPr="0086466C">
        <w:rPr>
          <w:rFonts w:ascii="Arial" w:hAnsi="Arial" w:cs="Arial"/>
        </w:rPr>
        <w:t>.</w:t>
      </w:r>
    </w:p>
    <w:p w14:paraId="1DB3B305" w14:textId="6F8AA0ED" w:rsidR="001E7113" w:rsidRPr="0086466C" w:rsidRDefault="00BD4FC7" w:rsidP="00C14619">
      <w:pPr>
        <w:pStyle w:val="Odstavecseseznamem"/>
        <w:numPr>
          <w:ilvl w:val="0"/>
          <w:numId w:val="1"/>
        </w:numPr>
        <w:spacing w:before="120" w:after="0"/>
        <w:ind w:left="425" w:hanging="357"/>
        <w:contextualSpacing w:val="0"/>
        <w:jc w:val="both"/>
        <w:rPr>
          <w:rFonts w:ascii="Arial" w:hAnsi="Arial" w:cs="Arial"/>
        </w:rPr>
      </w:pPr>
      <w:r w:rsidRPr="0086466C">
        <w:rPr>
          <w:rFonts w:ascii="Arial" w:hAnsi="Arial" w:cs="Arial"/>
        </w:rPr>
        <w:t>N</w:t>
      </w:r>
      <w:r w:rsidR="00887416" w:rsidRPr="0086466C">
        <w:rPr>
          <w:rFonts w:ascii="Arial" w:hAnsi="Arial" w:cs="Arial"/>
        </w:rPr>
        <w:t xml:space="preserve">ejvětší podíl firem zapojených do GPN najdeme v odvětvích </w:t>
      </w:r>
      <w:proofErr w:type="spellStart"/>
      <w:r w:rsidR="00887416" w:rsidRPr="0086466C">
        <w:rPr>
          <w:rFonts w:ascii="Arial" w:hAnsi="Arial" w:cs="Arial"/>
        </w:rPr>
        <w:t>Automotive</w:t>
      </w:r>
      <w:proofErr w:type="spellEnd"/>
      <w:r w:rsidR="00955CCA" w:rsidRPr="0086466C">
        <w:rPr>
          <w:rFonts w:ascii="Arial" w:hAnsi="Arial" w:cs="Arial"/>
        </w:rPr>
        <w:t>,</w:t>
      </w:r>
      <w:r w:rsidR="00887416" w:rsidRPr="0086466C">
        <w:rPr>
          <w:rFonts w:ascii="Arial" w:hAnsi="Arial" w:cs="Arial"/>
        </w:rPr>
        <w:t xml:space="preserve"> Ostatní dopravní prostředky</w:t>
      </w:r>
      <w:r w:rsidR="00955CCA" w:rsidRPr="0086466C">
        <w:rPr>
          <w:rFonts w:ascii="Arial" w:hAnsi="Arial" w:cs="Arial"/>
        </w:rPr>
        <w:t xml:space="preserve"> a </w:t>
      </w:r>
      <w:proofErr w:type="spellStart"/>
      <w:r w:rsidR="00955CCA" w:rsidRPr="0086466C">
        <w:rPr>
          <w:rFonts w:ascii="Arial" w:hAnsi="Arial" w:cs="Arial"/>
        </w:rPr>
        <w:t>Plastikářství</w:t>
      </w:r>
      <w:proofErr w:type="spellEnd"/>
      <w:r w:rsidRPr="0086466C">
        <w:rPr>
          <w:rFonts w:ascii="Arial" w:hAnsi="Arial" w:cs="Arial"/>
        </w:rPr>
        <w:t>.</w:t>
      </w:r>
    </w:p>
    <w:p w14:paraId="4C2F9E5F" w14:textId="55C3AECB" w:rsidR="00AA1F66" w:rsidRPr="0086466C" w:rsidRDefault="00BD4FC7" w:rsidP="00C14619">
      <w:pPr>
        <w:pStyle w:val="Odstavecseseznamem"/>
        <w:numPr>
          <w:ilvl w:val="0"/>
          <w:numId w:val="1"/>
        </w:numPr>
        <w:spacing w:before="120" w:after="0"/>
        <w:ind w:left="425" w:hanging="357"/>
        <w:contextualSpacing w:val="0"/>
        <w:jc w:val="both"/>
        <w:rPr>
          <w:rFonts w:ascii="Arial" w:hAnsi="Arial" w:cs="Arial"/>
        </w:rPr>
      </w:pPr>
      <w:r w:rsidRPr="0086466C">
        <w:rPr>
          <w:rFonts w:ascii="Arial" w:hAnsi="Arial" w:cs="Arial"/>
        </w:rPr>
        <w:t>M</w:t>
      </w:r>
      <w:r w:rsidR="00E17104" w:rsidRPr="0086466C">
        <w:rPr>
          <w:rFonts w:ascii="Arial" w:hAnsi="Arial" w:cs="Arial"/>
        </w:rPr>
        <w:t xml:space="preserve">imo GPN </w:t>
      </w:r>
      <w:r w:rsidR="007C3857" w:rsidRPr="0086466C">
        <w:rPr>
          <w:rFonts w:ascii="Arial" w:hAnsi="Arial" w:cs="Arial"/>
        </w:rPr>
        <w:t xml:space="preserve">stojí nejvíce podniků v odvětvích Kovovýroba, Strojírenství, Výroba minerálních </w:t>
      </w:r>
      <w:r w:rsidR="00E77EF6" w:rsidRPr="0086466C">
        <w:rPr>
          <w:rFonts w:ascii="Arial" w:hAnsi="Arial" w:cs="Arial"/>
        </w:rPr>
        <w:t>výrobků, Elektrotechnika a Elektronický průmysl</w:t>
      </w:r>
      <w:r w:rsidRPr="0086466C">
        <w:rPr>
          <w:rFonts w:ascii="Arial" w:hAnsi="Arial" w:cs="Arial"/>
        </w:rPr>
        <w:t>.</w:t>
      </w:r>
    </w:p>
    <w:p w14:paraId="47D56874" w14:textId="554AD99A" w:rsidR="00E77EF6" w:rsidRPr="0086466C" w:rsidRDefault="00BD4FC7" w:rsidP="00C14619">
      <w:pPr>
        <w:pStyle w:val="Odstavecseseznamem"/>
        <w:numPr>
          <w:ilvl w:val="0"/>
          <w:numId w:val="1"/>
        </w:numPr>
        <w:spacing w:before="120" w:after="0"/>
        <w:ind w:left="425" w:hanging="357"/>
        <w:contextualSpacing w:val="0"/>
        <w:jc w:val="both"/>
        <w:rPr>
          <w:rFonts w:ascii="Arial" w:hAnsi="Arial" w:cs="Arial"/>
        </w:rPr>
      </w:pPr>
      <w:r w:rsidRPr="0086466C">
        <w:rPr>
          <w:rFonts w:ascii="Arial" w:hAnsi="Arial" w:cs="Arial"/>
        </w:rPr>
        <w:t>V</w:t>
      </w:r>
      <w:r w:rsidR="005E4EAF" w:rsidRPr="0086466C">
        <w:rPr>
          <w:rFonts w:ascii="Arial" w:hAnsi="Arial" w:cs="Arial"/>
        </w:rPr>
        <w:t xml:space="preserve">lastní </w:t>
      </w:r>
      <w:proofErr w:type="spellStart"/>
      <w:r w:rsidR="005E4EAF" w:rsidRPr="0086466C">
        <w:rPr>
          <w:rFonts w:ascii="Arial" w:hAnsi="Arial" w:cs="Arial"/>
        </w:rPr>
        <w:t>VaV</w:t>
      </w:r>
      <w:proofErr w:type="spellEnd"/>
      <w:r w:rsidR="005E4EAF" w:rsidRPr="0086466C">
        <w:rPr>
          <w:rFonts w:ascii="Arial" w:hAnsi="Arial" w:cs="Arial"/>
        </w:rPr>
        <w:t xml:space="preserve"> mají hlavně podniky stojící mimo GPN s přístupem na koncový trh</w:t>
      </w:r>
      <w:r w:rsidR="00091655" w:rsidRPr="0086466C">
        <w:rPr>
          <w:rFonts w:ascii="Arial" w:hAnsi="Arial" w:cs="Arial"/>
        </w:rPr>
        <w:t xml:space="preserve"> nebo ve 2 případech i vedoucí firmy</w:t>
      </w:r>
      <w:r w:rsidRPr="0086466C">
        <w:rPr>
          <w:rFonts w:ascii="Arial" w:hAnsi="Arial" w:cs="Arial"/>
        </w:rPr>
        <w:t>.</w:t>
      </w:r>
    </w:p>
    <w:p w14:paraId="7F43FCD9" w14:textId="45150CAF" w:rsidR="00091655" w:rsidRPr="0086466C" w:rsidRDefault="00072ED5" w:rsidP="00C14619">
      <w:pPr>
        <w:pStyle w:val="Odstavecseseznamem"/>
        <w:numPr>
          <w:ilvl w:val="0"/>
          <w:numId w:val="1"/>
        </w:numPr>
        <w:spacing w:before="120" w:after="0"/>
        <w:ind w:left="425" w:hanging="357"/>
        <w:contextualSpacing w:val="0"/>
        <w:jc w:val="both"/>
        <w:rPr>
          <w:rFonts w:ascii="Arial" w:hAnsi="Arial" w:cs="Arial"/>
        </w:rPr>
      </w:pPr>
      <w:r w:rsidRPr="0086466C">
        <w:rPr>
          <w:rFonts w:ascii="Arial" w:hAnsi="Arial" w:cs="Arial"/>
        </w:rPr>
        <w:t>S</w:t>
      </w:r>
      <w:r w:rsidR="00C62667" w:rsidRPr="0086466C">
        <w:rPr>
          <w:rFonts w:ascii="Arial" w:hAnsi="Arial" w:cs="Arial"/>
        </w:rPr>
        <w:t>tatistick</w:t>
      </w:r>
      <w:r w:rsidR="004B6353" w:rsidRPr="0086466C">
        <w:rPr>
          <w:rFonts w:ascii="Arial" w:hAnsi="Arial" w:cs="Arial"/>
        </w:rPr>
        <w:t xml:space="preserve">é metody nepotvrdily souvislost mezi postavením firem v GPN </w:t>
      </w:r>
      <w:r w:rsidR="004D6DE7" w:rsidRPr="0086466C">
        <w:rPr>
          <w:rFonts w:ascii="Arial" w:hAnsi="Arial" w:cs="Arial"/>
        </w:rPr>
        <w:t>a</w:t>
      </w:r>
      <w:r w:rsidR="009D7CF0" w:rsidRPr="0086466C">
        <w:rPr>
          <w:rFonts w:ascii="Arial" w:hAnsi="Arial" w:cs="Arial"/>
        </w:rPr>
        <w:t> </w:t>
      </w:r>
      <w:r w:rsidR="00A6707F" w:rsidRPr="0086466C">
        <w:rPr>
          <w:rFonts w:ascii="Arial" w:hAnsi="Arial" w:cs="Arial"/>
        </w:rPr>
        <w:t xml:space="preserve">většinou </w:t>
      </w:r>
      <w:r w:rsidR="009D7CF0" w:rsidRPr="0086466C">
        <w:rPr>
          <w:rFonts w:ascii="Arial" w:hAnsi="Arial" w:cs="Arial"/>
        </w:rPr>
        <w:t>ekonomick</w:t>
      </w:r>
      <w:r w:rsidR="00A6707F" w:rsidRPr="0086466C">
        <w:rPr>
          <w:rFonts w:ascii="Arial" w:hAnsi="Arial" w:cs="Arial"/>
        </w:rPr>
        <w:t>ých</w:t>
      </w:r>
      <w:r w:rsidR="009D7CF0" w:rsidRPr="0086466C">
        <w:rPr>
          <w:rFonts w:ascii="Arial" w:hAnsi="Arial" w:cs="Arial"/>
        </w:rPr>
        <w:t xml:space="preserve"> ukazatel</w:t>
      </w:r>
      <w:r w:rsidR="00A6707F" w:rsidRPr="0086466C">
        <w:rPr>
          <w:rFonts w:ascii="Arial" w:hAnsi="Arial" w:cs="Arial"/>
        </w:rPr>
        <w:t>ů</w:t>
      </w:r>
      <w:r w:rsidRPr="0086466C">
        <w:rPr>
          <w:rFonts w:ascii="Arial" w:hAnsi="Arial" w:cs="Arial"/>
        </w:rPr>
        <w:t>.</w:t>
      </w:r>
    </w:p>
    <w:p w14:paraId="28F2B1AC" w14:textId="0CC060FD" w:rsidR="009E271C" w:rsidRPr="0086466C" w:rsidRDefault="00215ED3" w:rsidP="00C14619">
      <w:pPr>
        <w:pStyle w:val="Odstavecseseznamem"/>
        <w:numPr>
          <w:ilvl w:val="0"/>
          <w:numId w:val="1"/>
        </w:numPr>
        <w:spacing w:before="120" w:after="0"/>
        <w:ind w:left="425" w:hanging="357"/>
        <w:contextualSpacing w:val="0"/>
        <w:jc w:val="both"/>
        <w:rPr>
          <w:rFonts w:ascii="Arial" w:hAnsi="Arial" w:cs="Arial"/>
        </w:rPr>
      </w:pPr>
      <w:r w:rsidRPr="0086466C">
        <w:rPr>
          <w:rFonts w:ascii="Arial" w:hAnsi="Arial" w:cs="Arial"/>
        </w:rPr>
        <w:t>P</w:t>
      </w:r>
      <w:r w:rsidR="00A6707F" w:rsidRPr="0086466C">
        <w:rPr>
          <w:rFonts w:ascii="Arial" w:hAnsi="Arial" w:cs="Arial"/>
        </w:rPr>
        <w:t xml:space="preserve">ravděpodobně je závislá přidaná hodnota </w:t>
      </w:r>
      <w:r w:rsidR="006E1D40" w:rsidRPr="0086466C">
        <w:rPr>
          <w:rFonts w:ascii="Arial" w:hAnsi="Arial" w:cs="Arial"/>
        </w:rPr>
        <w:t>s personálními náklady podniků</w:t>
      </w:r>
      <w:r w:rsidR="00107500" w:rsidRPr="0086466C">
        <w:rPr>
          <w:rFonts w:ascii="Arial" w:hAnsi="Arial" w:cs="Arial"/>
        </w:rPr>
        <w:t>, mezi nimiž je lineární závislost</w:t>
      </w:r>
      <w:r w:rsidRPr="0086466C">
        <w:rPr>
          <w:rFonts w:ascii="Arial" w:hAnsi="Arial" w:cs="Arial"/>
        </w:rPr>
        <w:t>.</w:t>
      </w:r>
    </w:p>
    <w:p w14:paraId="7F11D136" w14:textId="368D613A" w:rsidR="00A6707F" w:rsidRPr="0086466C" w:rsidRDefault="00215ED3" w:rsidP="00C14619">
      <w:pPr>
        <w:pStyle w:val="Odstavecseseznamem"/>
        <w:numPr>
          <w:ilvl w:val="0"/>
          <w:numId w:val="1"/>
        </w:numPr>
        <w:spacing w:before="120" w:after="0"/>
        <w:ind w:left="425" w:hanging="357"/>
        <w:contextualSpacing w:val="0"/>
        <w:jc w:val="both"/>
        <w:rPr>
          <w:rFonts w:ascii="Arial" w:hAnsi="Arial" w:cs="Arial"/>
        </w:rPr>
      </w:pPr>
      <w:r w:rsidRPr="0086466C">
        <w:rPr>
          <w:rFonts w:ascii="Arial" w:hAnsi="Arial" w:cs="Arial"/>
        </w:rPr>
        <w:t>V</w:t>
      </w:r>
      <w:r w:rsidR="009015FA" w:rsidRPr="0086466C">
        <w:rPr>
          <w:rFonts w:ascii="Arial" w:hAnsi="Arial" w:cs="Arial"/>
        </w:rPr>
        <w:t xml:space="preserve">ýše </w:t>
      </w:r>
      <w:r w:rsidR="009E271C" w:rsidRPr="0086466C">
        <w:rPr>
          <w:rFonts w:ascii="Arial" w:hAnsi="Arial" w:cs="Arial"/>
        </w:rPr>
        <w:t>obratu na zaměstnance je vyšší u zahraničních podniků než u domácích</w:t>
      </w:r>
      <w:r w:rsidRPr="0086466C">
        <w:rPr>
          <w:rFonts w:ascii="Arial" w:hAnsi="Arial" w:cs="Arial"/>
        </w:rPr>
        <w:t>.</w:t>
      </w:r>
    </w:p>
    <w:p w14:paraId="395BFF97" w14:textId="02E0B9AE" w:rsidR="00107500" w:rsidRPr="0086466C" w:rsidRDefault="00215ED3" w:rsidP="00C14619">
      <w:pPr>
        <w:pStyle w:val="Odstavecseseznamem"/>
        <w:numPr>
          <w:ilvl w:val="0"/>
          <w:numId w:val="1"/>
        </w:numPr>
        <w:spacing w:before="120" w:after="0"/>
        <w:ind w:left="425" w:hanging="357"/>
        <w:contextualSpacing w:val="0"/>
        <w:jc w:val="both"/>
        <w:rPr>
          <w:rFonts w:ascii="Arial" w:hAnsi="Arial" w:cs="Arial"/>
        </w:rPr>
      </w:pPr>
      <w:r w:rsidRPr="0086466C">
        <w:rPr>
          <w:rFonts w:ascii="Arial" w:hAnsi="Arial" w:cs="Arial"/>
        </w:rPr>
        <w:t>Z</w:t>
      </w:r>
      <w:r w:rsidR="006C614A" w:rsidRPr="0086466C">
        <w:rPr>
          <w:rFonts w:ascii="Arial" w:hAnsi="Arial" w:cs="Arial"/>
        </w:rPr>
        <w:t xml:space="preserve">ahraniční podniky mají díky tomu vyšší hodnotu vytvořenou než </w:t>
      </w:r>
      <w:r w:rsidR="002E3E6A" w:rsidRPr="0086466C">
        <w:rPr>
          <w:rFonts w:ascii="Arial" w:hAnsi="Arial" w:cs="Arial"/>
        </w:rPr>
        <w:t>tuzemské firmy</w:t>
      </w:r>
      <w:r w:rsidRPr="0086466C">
        <w:rPr>
          <w:rFonts w:ascii="Arial" w:hAnsi="Arial" w:cs="Arial"/>
        </w:rPr>
        <w:t>.</w:t>
      </w:r>
    </w:p>
    <w:p w14:paraId="3A265858" w14:textId="6BD55E8A" w:rsidR="002E3E6A" w:rsidRPr="0086466C" w:rsidRDefault="00215ED3" w:rsidP="00C14619">
      <w:pPr>
        <w:pStyle w:val="Odstavecseseznamem"/>
        <w:numPr>
          <w:ilvl w:val="0"/>
          <w:numId w:val="1"/>
        </w:numPr>
        <w:spacing w:before="120" w:after="0"/>
        <w:ind w:left="425" w:hanging="357"/>
        <w:contextualSpacing w:val="0"/>
        <w:jc w:val="both"/>
        <w:rPr>
          <w:rFonts w:ascii="Arial" w:hAnsi="Arial" w:cs="Arial"/>
        </w:rPr>
      </w:pPr>
      <w:r w:rsidRPr="0086466C">
        <w:rPr>
          <w:rFonts w:ascii="Arial" w:hAnsi="Arial" w:cs="Arial"/>
        </w:rPr>
        <w:t>P</w:t>
      </w:r>
      <w:r w:rsidR="009E5722" w:rsidRPr="0086466C">
        <w:rPr>
          <w:rFonts w:ascii="Arial" w:hAnsi="Arial" w:cs="Arial"/>
        </w:rPr>
        <w:t xml:space="preserve">řekvapivý je nižší zisk </w:t>
      </w:r>
      <w:r w:rsidR="001832ED" w:rsidRPr="0086466C">
        <w:rPr>
          <w:rFonts w:ascii="Arial" w:hAnsi="Arial" w:cs="Arial"/>
        </w:rPr>
        <w:t xml:space="preserve">na zaměstnance u subjektů </w:t>
      </w:r>
      <w:r w:rsidR="0000475B" w:rsidRPr="0086466C">
        <w:rPr>
          <w:rFonts w:ascii="Arial" w:hAnsi="Arial" w:cs="Arial"/>
        </w:rPr>
        <w:t xml:space="preserve">s vlastním </w:t>
      </w:r>
      <w:proofErr w:type="spellStart"/>
      <w:r w:rsidR="0000475B" w:rsidRPr="0086466C">
        <w:rPr>
          <w:rFonts w:ascii="Arial" w:hAnsi="Arial" w:cs="Arial"/>
        </w:rPr>
        <w:t>Va</w:t>
      </w:r>
      <w:r w:rsidR="003628AF" w:rsidRPr="0086466C">
        <w:rPr>
          <w:rFonts w:ascii="Arial" w:hAnsi="Arial" w:cs="Arial"/>
        </w:rPr>
        <w:t>V</w:t>
      </w:r>
      <w:proofErr w:type="spellEnd"/>
      <w:r w:rsidR="003628AF" w:rsidRPr="0086466C">
        <w:rPr>
          <w:rFonts w:ascii="Arial" w:hAnsi="Arial" w:cs="Arial"/>
        </w:rPr>
        <w:t>.</w:t>
      </w:r>
    </w:p>
    <w:p w14:paraId="5139E393" w14:textId="465E2E38" w:rsidR="00DA29BF" w:rsidRDefault="00DA29BF">
      <w:r>
        <w:br w:type="page"/>
      </w:r>
    </w:p>
    <w:p w14:paraId="3171D18F" w14:textId="77777777" w:rsidR="00DA29BF" w:rsidRDefault="00DA29BF" w:rsidP="00DA29BF">
      <w:pPr>
        <w:pStyle w:val="Nadpis1"/>
        <w:spacing w:before="120" w:after="0"/>
        <w:rPr>
          <w:rFonts w:ascii="Arial" w:hAnsi="Arial" w:cs="Arial"/>
          <w:b/>
          <w:bCs/>
          <w:color w:val="auto"/>
          <w:sz w:val="24"/>
          <w:szCs w:val="24"/>
        </w:rPr>
      </w:pPr>
      <w:bookmarkStart w:id="9" w:name="_Toc187929048"/>
      <w:r>
        <w:rPr>
          <w:rFonts w:ascii="Arial" w:hAnsi="Arial" w:cs="Arial"/>
          <w:b/>
          <w:bCs/>
          <w:color w:val="auto"/>
          <w:sz w:val="24"/>
          <w:szCs w:val="24"/>
        </w:rPr>
        <w:lastRenderedPageBreak/>
        <w:t>Použité podklady</w:t>
      </w:r>
      <w:bookmarkEnd w:id="9"/>
    </w:p>
    <w:p w14:paraId="44450D87" w14:textId="6957D914" w:rsidR="000E4F5B" w:rsidRPr="000E4F5B" w:rsidRDefault="000E4F5B" w:rsidP="000E4F5B">
      <w:pPr>
        <w:spacing w:before="240" w:after="0"/>
      </w:pPr>
      <w:r w:rsidRPr="000E4F5B">
        <w:rPr>
          <w:rFonts w:ascii="Arial" w:hAnsi="Arial" w:cs="Arial"/>
        </w:rPr>
        <w:t>HOLICKÁ, Z., BLA</w:t>
      </w:r>
      <w:r w:rsidRPr="000E4F5B">
        <w:rPr>
          <w:rFonts w:ascii="Arial" w:hAnsi="Arial" w:cs="Arial" w:hint="eastAsia"/>
        </w:rPr>
        <w:t>Ž</w:t>
      </w:r>
      <w:r w:rsidRPr="000E4F5B">
        <w:rPr>
          <w:rFonts w:ascii="Arial" w:hAnsi="Arial" w:cs="Arial"/>
        </w:rPr>
        <w:t>EK, J. 2023</w:t>
      </w:r>
      <w:r w:rsidR="00B92432">
        <w:rPr>
          <w:rFonts w:ascii="Arial" w:hAnsi="Arial" w:cs="Arial"/>
        </w:rPr>
        <w:t>.</w:t>
      </w:r>
      <w:r w:rsidRPr="000E4F5B">
        <w:rPr>
          <w:rFonts w:ascii="Arial" w:hAnsi="Arial" w:cs="Arial"/>
        </w:rPr>
        <w:t xml:space="preserve"> </w:t>
      </w:r>
      <w:r w:rsidRPr="000E5B99">
        <w:rPr>
          <w:rFonts w:ascii="Arial" w:hAnsi="Arial" w:cs="Arial"/>
        </w:rPr>
        <w:t>Tvorba a udr</w:t>
      </w:r>
      <w:r w:rsidRPr="000E5B99">
        <w:rPr>
          <w:rFonts w:ascii="Arial" w:hAnsi="Arial" w:cs="Arial" w:hint="eastAsia"/>
        </w:rPr>
        <w:t>ž</w:t>
      </w:r>
      <w:r w:rsidRPr="000E5B99">
        <w:rPr>
          <w:rFonts w:ascii="Arial" w:hAnsi="Arial" w:cs="Arial"/>
        </w:rPr>
        <w:t>en</w:t>
      </w:r>
      <w:r w:rsidR="000E5B99">
        <w:rPr>
          <w:rFonts w:ascii="Arial" w:hAnsi="Arial" w:cs="Arial"/>
        </w:rPr>
        <w:t>í</w:t>
      </w:r>
      <w:r w:rsidRPr="000E5B99">
        <w:rPr>
          <w:rFonts w:ascii="Arial" w:hAnsi="Arial" w:cs="Arial"/>
        </w:rPr>
        <w:t xml:space="preserve"> hodnoty 300 největšími spole</w:t>
      </w:r>
      <w:r w:rsidRPr="000E5B99">
        <w:rPr>
          <w:rFonts w:ascii="Arial" w:hAnsi="Arial" w:cs="Arial" w:hint="eastAsia"/>
        </w:rPr>
        <w:t>č</w:t>
      </w:r>
      <w:r w:rsidRPr="000E5B99">
        <w:rPr>
          <w:rFonts w:ascii="Arial" w:hAnsi="Arial" w:cs="Arial"/>
        </w:rPr>
        <w:t xml:space="preserve">nostmi v </w:t>
      </w:r>
      <w:r w:rsidRPr="000E5B99">
        <w:rPr>
          <w:rFonts w:ascii="Arial" w:hAnsi="Arial" w:cs="Arial" w:hint="eastAsia"/>
        </w:rPr>
        <w:t>Č</w:t>
      </w:r>
      <w:r w:rsidRPr="000E5B99">
        <w:rPr>
          <w:rFonts w:ascii="Arial" w:hAnsi="Arial" w:cs="Arial"/>
        </w:rPr>
        <w:t xml:space="preserve">esku: jakou roli hraje pozice v globálních produkčních </w:t>
      </w:r>
      <w:proofErr w:type="gramStart"/>
      <w:r w:rsidRPr="000E5B99">
        <w:rPr>
          <w:rFonts w:ascii="Arial" w:hAnsi="Arial" w:cs="Arial"/>
        </w:rPr>
        <w:t>sítích?</w:t>
      </w:r>
      <w:r w:rsidR="000E5B99">
        <w:rPr>
          <w:rFonts w:ascii="Arial" w:hAnsi="Arial" w:cs="Arial"/>
        </w:rPr>
        <w:t>.</w:t>
      </w:r>
      <w:proofErr w:type="gramEnd"/>
      <w:r w:rsidRPr="000E4F5B">
        <w:rPr>
          <w:rFonts w:ascii="Arial" w:hAnsi="Arial" w:cs="Arial"/>
        </w:rPr>
        <w:t xml:space="preserve"> </w:t>
      </w:r>
      <w:r w:rsidRPr="000E5B99">
        <w:rPr>
          <w:rFonts w:ascii="Arial" w:hAnsi="Arial" w:cs="Arial"/>
          <w:i/>
          <w:iCs/>
        </w:rPr>
        <w:t>Geografie</w:t>
      </w:r>
      <w:r w:rsidRPr="000E4F5B">
        <w:rPr>
          <w:rFonts w:ascii="Arial" w:hAnsi="Arial" w:cs="Arial"/>
        </w:rPr>
        <w:t>, 128, 1, 75</w:t>
      </w:r>
      <w:r w:rsidRPr="000E4F5B">
        <w:rPr>
          <w:rFonts w:ascii="Arial" w:hAnsi="Arial" w:cs="Arial" w:hint="eastAsia"/>
        </w:rPr>
        <w:t>−</w:t>
      </w:r>
      <w:r w:rsidRPr="000E4F5B">
        <w:rPr>
          <w:rFonts w:ascii="Arial" w:hAnsi="Arial" w:cs="Arial"/>
        </w:rPr>
        <w:t>101.)</w:t>
      </w:r>
    </w:p>
    <w:p w14:paraId="768132FD" w14:textId="38917FF3" w:rsidR="00DA29BF" w:rsidRDefault="00DA29BF" w:rsidP="00DA29BF">
      <w:pPr>
        <w:spacing w:before="120"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ČSÚ. 2024.</w:t>
      </w:r>
      <w:r w:rsidR="00B92432" w:rsidRPr="00B92432">
        <w:rPr>
          <w:rFonts w:ascii="Arial" w:hAnsi="Arial" w:cs="Arial"/>
        </w:rPr>
        <w:t xml:space="preserve"> </w:t>
      </w:r>
      <w:r w:rsidR="00B92432">
        <w:rPr>
          <w:rFonts w:ascii="Arial" w:hAnsi="Arial" w:cs="Arial"/>
        </w:rPr>
        <w:t xml:space="preserve">[online]. </w:t>
      </w:r>
      <w:r w:rsidRPr="00B92432">
        <w:rPr>
          <w:rFonts w:ascii="Arial" w:hAnsi="Arial" w:cs="Arial"/>
          <w:i/>
          <w:iCs/>
        </w:rPr>
        <w:t>Registr ekonomických subjektů</w:t>
      </w:r>
      <w:r w:rsidR="00B92432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 xml:space="preserve">Dostupné z: </w:t>
      </w:r>
      <w:hyperlink r:id="rId33" w:history="1">
        <w:r w:rsidRPr="00CD13F3">
          <w:rPr>
            <w:rStyle w:val="Hypertextovodkaz"/>
            <w:rFonts w:ascii="Arial" w:hAnsi="Arial" w:cs="Arial"/>
          </w:rPr>
          <w:t>https://csu.gov.cz/poskytovani_udaju_z_res</w:t>
        </w:r>
      </w:hyperlink>
    </w:p>
    <w:p w14:paraId="558DFE28" w14:textId="478965AC" w:rsidR="00DA29BF" w:rsidRDefault="00DA29BF" w:rsidP="00DA29BF">
      <w:pPr>
        <w:spacing w:before="120"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Dun &amp; </w:t>
      </w:r>
      <w:proofErr w:type="spellStart"/>
      <w:r>
        <w:rPr>
          <w:rFonts w:ascii="Arial" w:hAnsi="Arial" w:cs="Arial"/>
        </w:rPr>
        <w:t>Bradstreet</w:t>
      </w:r>
      <w:proofErr w:type="spellEnd"/>
      <w:r>
        <w:rPr>
          <w:rFonts w:ascii="Arial" w:hAnsi="Arial" w:cs="Arial"/>
        </w:rPr>
        <w:t>. 2024.</w:t>
      </w:r>
      <w:r w:rsidR="00B92432">
        <w:rPr>
          <w:rFonts w:ascii="Arial" w:hAnsi="Arial" w:cs="Arial"/>
        </w:rPr>
        <w:t xml:space="preserve"> [online]. </w:t>
      </w:r>
      <w:r w:rsidR="002A6544" w:rsidRPr="002A6544">
        <w:rPr>
          <w:rFonts w:ascii="Arial" w:hAnsi="Arial" w:cs="Arial"/>
          <w:i/>
          <w:iCs/>
        </w:rPr>
        <w:t xml:space="preserve">Aplikace </w:t>
      </w:r>
      <w:r w:rsidRPr="002A6544">
        <w:rPr>
          <w:rFonts w:ascii="Arial" w:hAnsi="Arial" w:cs="Arial"/>
          <w:i/>
          <w:iCs/>
        </w:rPr>
        <w:t xml:space="preserve">D&amp;B </w:t>
      </w:r>
      <w:proofErr w:type="spellStart"/>
      <w:r w:rsidRPr="002A6544">
        <w:rPr>
          <w:rFonts w:ascii="Arial" w:hAnsi="Arial" w:cs="Arial"/>
          <w:i/>
          <w:iCs/>
        </w:rPr>
        <w:t>Hoovers</w:t>
      </w:r>
      <w:proofErr w:type="spellEnd"/>
      <w:r w:rsidR="00B92432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 xml:space="preserve">Dostupné z: </w:t>
      </w:r>
      <w:hyperlink r:id="rId34" w:history="1">
        <w:r w:rsidRPr="00CD13F3">
          <w:rPr>
            <w:rStyle w:val="Hypertextovodkaz"/>
            <w:rFonts w:ascii="Arial" w:hAnsi="Arial" w:cs="Arial"/>
          </w:rPr>
          <w:t>https://www.dnb.com/cs-cz/produkty/dnb-hoovers.html</w:t>
        </w:r>
      </w:hyperlink>
    </w:p>
    <w:p w14:paraId="435C3440" w14:textId="66A24352" w:rsidR="00DA29BF" w:rsidRPr="00E460BF" w:rsidRDefault="00DA29BF" w:rsidP="00DA29BF">
      <w:pPr>
        <w:spacing w:before="120"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OFPEU KÚ PK. 2024.</w:t>
      </w:r>
      <w:r w:rsidR="00B92432" w:rsidRPr="00B92432">
        <w:rPr>
          <w:rFonts w:ascii="Arial" w:hAnsi="Arial" w:cs="Arial"/>
        </w:rPr>
        <w:t xml:space="preserve"> </w:t>
      </w:r>
      <w:r w:rsidR="00B92432">
        <w:rPr>
          <w:rFonts w:ascii="Arial" w:hAnsi="Arial" w:cs="Arial"/>
        </w:rPr>
        <w:t>[neveřejné].</w:t>
      </w:r>
      <w:r>
        <w:rPr>
          <w:rFonts w:ascii="Arial" w:hAnsi="Arial" w:cs="Arial"/>
        </w:rPr>
        <w:t xml:space="preserve"> </w:t>
      </w:r>
      <w:r w:rsidRPr="00B92432">
        <w:rPr>
          <w:rFonts w:ascii="Arial" w:hAnsi="Arial" w:cs="Arial"/>
          <w:i/>
          <w:iCs/>
        </w:rPr>
        <w:t>Databáze projektů financovaných z dotačních titulů</w:t>
      </w:r>
      <w:r w:rsidRPr="00E460BF">
        <w:rPr>
          <w:rFonts w:ascii="Arial" w:hAnsi="Arial" w:cs="Arial"/>
        </w:rPr>
        <w:t xml:space="preserve"> </w:t>
      </w:r>
    </w:p>
    <w:p w14:paraId="434D4E6C" w14:textId="77777777" w:rsidR="00DA29BF" w:rsidRPr="00654239" w:rsidRDefault="00DA29BF" w:rsidP="00DA29BF">
      <w:pPr>
        <w:spacing w:before="120"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Webové stránky ekonomických subjektů </w:t>
      </w:r>
    </w:p>
    <w:sectPr w:rsidR="00DA29BF" w:rsidRPr="006542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D4E22B" w14:textId="77777777" w:rsidR="00100AA2" w:rsidRDefault="00100AA2">
      <w:pPr>
        <w:spacing w:after="0" w:line="240" w:lineRule="auto"/>
      </w:pPr>
      <w:r>
        <w:separator/>
      </w:r>
    </w:p>
  </w:endnote>
  <w:endnote w:type="continuationSeparator" w:id="0">
    <w:p w14:paraId="7E9B4D87" w14:textId="77777777" w:rsidR="00100AA2" w:rsidRDefault="00100AA2">
      <w:pPr>
        <w:spacing w:after="0" w:line="240" w:lineRule="auto"/>
      </w:pPr>
      <w:r>
        <w:continuationSeparator/>
      </w:r>
    </w:p>
  </w:endnote>
  <w:endnote w:type="continuationNotice" w:id="1">
    <w:p w14:paraId="65BC1D30" w14:textId="77777777" w:rsidR="00100AA2" w:rsidRDefault="00100AA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sap">
    <w:altName w:val="Calibri"/>
    <w:charset w:val="00"/>
    <w:family w:val="auto"/>
    <w:pitch w:val="variable"/>
    <w:sig w:usb0="A00000FF" w:usb1="5000207B" w:usb2="00000000" w:usb3="00000000" w:csb0="00000193" w:csb1="00000000"/>
  </w:font>
  <w:font w:name="Asap SemiBold">
    <w:altName w:val="Calibri"/>
    <w:charset w:val="00"/>
    <w:family w:val="auto"/>
    <w:pitch w:val="variable"/>
    <w:sig w:usb0="A00000FF" w:usb1="5000207B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ED9653" w14:textId="198456BD" w:rsidR="00252FFC" w:rsidRDefault="00252FFC">
    <w:pPr>
      <w:pStyle w:val="Zpat"/>
      <w:jc w:val="right"/>
    </w:pPr>
  </w:p>
  <w:p w14:paraId="0BCC2C3E" w14:textId="77777777" w:rsidR="00DA6A7B" w:rsidRDefault="00DA6A7B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47165678"/>
      <w:docPartObj>
        <w:docPartGallery w:val="Page Numbers (Bottom of Page)"/>
        <w:docPartUnique/>
      </w:docPartObj>
    </w:sdtPr>
    <w:sdtEndPr/>
    <w:sdtContent>
      <w:p w14:paraId="0D61560D" w14:textId="77777777" w:rsidR="00252FFC" w:rsidRDefault="00252FFC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A2EE133" w14:textId="77777777" w:rsidR="00252FFC" w:rsidRDefault="00252FFC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9FD438" w14:textId="77777777" w:rsidR="00100AA2" w:rsidRDefault="00100AA2">
      <w:pPr>
        <w:spacing w:after="0" w:line="240" w:lineRule="auto"/>
      </w:pPr>
      <w:r>
        <w:separator/>
      </w:r>
    </w:p>
  </w:footnote>
  <w:footnote w:type="continuationSeparator" w:id="0">
    <w:p w14:paraId="282C7757" w14:textId="77777777" w:rsidR="00100AA2" w:rsidRDefault="00100AA2">
      <w:pPr>
        <w:spacing w:after="0" w:line="240" w:lineRule="auto"/>
      </w:pPr>
      <w:r>
        <w:continuationSeparator/>
      </w:r>
    </w:p>
  </w:footnote>
  <w:footnote w:type="continuationNotice" w:id="1">
    <w:p w14:paraId="6D924B6B" w14:textId="77777777" w:rsidR="00100AA2" w:rsidRDefault="00100AA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41DAC"/>
    <w:multiLevelType w:val="multilevel"/>
    <w:tmpl w:val="301E7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3D5A31"/>
    <w:multiLevelType w:val="multilevel"/>
    <w:tmpl w:val="A92C9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43390C"/>
    <w:multiLevelType w:val="multilevel"/>
    <w:tmpl w:val="A59A7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4A7C35"/>
    <w:multiLevelType w:val="multilevel"/>
    <w:tmpl w:val="B5AAB5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6A1B36"/>
    <w:multiLevelType w:val="multilevel"/>
    <w:tmpl w:val="50A42F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9ED5A03"/>
    <w:multiLevelType w:val="hybridMultilevel"/>
    <w:tmpl w:val="B1244C72"/>
    <w:lvl w:ilvl="0" w:tplc="252C875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201F97"/>
    <w:multiLevelType w:val="multilevel"/>
    <w:tmpl w:val="28F0F7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43D0130"/>
    <w:multiLevelType w:val="multilevel"/>
    <w:tmpl w:val="8160DD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C892E48"/>
    <w:multiLevelType w:val="hybridMultilevel"/>
    <w:tmpl w:val="C0ACF97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B47DAC"/>
    <w:multiLevelType w:val="multilevel"/>
    <w:tmpl w:val="E67E1A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0A85CE6"/>
    <w:multiLevelType w:val="multilevel"/>
    <w:tmpl w:val="64F6C9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1" w15:restartNumberingAfterBreak="0">
    <w:nsid w:val="34FC7148"/>
    <w:multiLevelType w:val="multilevel"/>
    <w:tmpl w:val="6E787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59855C7"/>
    <w:multiLevelType w:val="multilevel"/>
    <w:tmpl w:val="09382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A2E38EF"/>
    <w:multiLevelType w:val="multilevel"/>
    <w:tmpl w:val="BF72EE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E9F0CCF"/>
    <w:multiLevelType w:val="multilevel"/>
    <w:tmpl w:val="09B22C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5064416"/>
    <w:multiLevelType w:val="multilevel"/>
    <w:tmpl w:val="8174C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83E3662"/>
    <w:multiLevelType w:val="multilevel"/>
    <w:tmpl w:val="0CB26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A0C79D2"/>
    <w:multiLevelType w:val="multilevel"/>
    <w:tmpl w:val="50A42F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5600D01"/>
    <w:multiLevelType w:val="multilevel"/>
    <w:tmpl w:val="2CB8EC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5892F37"/>
    <w:multiLevelType w:val="multilevel"/>
    <w:tmpl w:val="30EE79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AF35E6A"/>
    <w:multiLevelType w:val="hybridMultilevel"/>
    <w:tmpl w:val="AAB8DC7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E8A237C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60B261C7"/>
    <w:multiLevelType w:val="multilevel"/>
    <w:tmpl w:val="9E744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4BD775A"/>
    <w:multiLevelType w:val="multilevel"/>
    <w:tmpl w:val="33E68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59B3D70"/>
    <w:multiLevelType w:val="multilevel"/>
    <w:tmpl w:val="74EE5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1D96C29"/>
    <w:multiLevelType w:val="hybridMultilevel"/>
    <w:tmpl w:val="26A040B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47209FD"/>
    <w:multiLevelType w:val="multilevel"/>
    <w:tmpl w:val="50A42F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63497294">
    <w:abstractNumId w:val="5"/>
  </w:num>
  <w:num w:numId="2" w16cid:durableId="49813542">
    <w:abstractNumId w:val="25"/>
  </w:num>
  <w:num w:numId="3" w16cid:durableId="1939408778">
    <w:abstractNumId w:val="18"/>
  </w:num>
  <w:num w:numId="4" w16cid:durableId="907956330">
    <w:abstractNumId w:val="10"/>
  </w:num>
  <w:num w:numId="5" w16cid:durableId="2043088237">
    <w:abstractNumId w:val="16"/>
  </w:num>
  <w:num w:numId="6" w16cid:durableId="1619289802">
    <w:abstractNumId w:val="7"/>
  </w:num>
  <w:num w:numId="7" w16cid:durableId="427510179">
    <w:abstractNumId w:val="9"/>
  </w:num>
  <w:num w:numId="8" w16cid:durableId="947784222">
    <w:abstractNumId w:val="12"/>
  </w:num>
  <w:num w:numId="9" w16cid:durableId="1961765148">
    <w:abstractNumId w:val="23"/>
  </w:num>
  <w:num w:numId="10" w16cid:durableId="1673029355">
    <w:abstractNumId w:val="14"/>
  </w:num>
  <w:num w:numId="11" w16cid:durableId="2074424589">
    <w:abstractNumId w:val="0"/>
  </w:num>
  <w:num w:numId="12" w16cid:durableId="1779711169">
    <w:abstractNumId w:val="24"/>
  </w:num>
  <w:num w:numId="13" w16cid:durableId="1650590341">
    <w:abstractNumId w:val="3"/>
  </w:num>
  <w:num w:numId="14" w16cid:durableId="1173958769">
    <w:abstractNumId w:val="4"/>
  </w:num>
  <w:num w:numId="15" w16cid:durableId="1591088240">
    <w:abstractNumId w:val="26"/>
  </w:num>
  <w:num w:numId="16" w16cid:durableId="1299648349">
    <w:abstractNumId w:val="17"/>
  </w:num>
  <w:num w:numId="17" w16cid:durableId="680670730">
    <w:abstractNumId w:val="20"/>
  </w:num>
  <w:num w:numId="18" w16cid:durableId="1093550700">
    <w:abstractNumId w:val="15"/>
  </w:num>
  <w:num w:numId="19" w16cid:durableId="1294824685">
    <w:abstractNumId w:val="22"/>
  </w:num>
  <w:num w:numId="20" w16cid:durableId="2080010476">
    <w:abstractNumId w:val="2"/>
  </w:num>
  <w:num w:numId="21" w16cid:durableId="2130581446">
    <w:abstractNumId w:val="19"/>
  </w:num>
  <w:num w:numId="22" w16cid:durableId="1518276913">
    <w:abstractNumId w:val="8"/>
  </w:num>
  <w:num w:numId="23" w16cid:durableId="1304653262">
    <w:abstractNumId w:val="1"/>
  </w:num>
  <w:num w:numId="24" w16cid:durableId="30229979">
    <w:abstractNumId w:val="11"/>
  </w:num>
  <w:num w:numId="25" w16cid:durableId="891965616">
    <w:abstractNumId w:val="6"/>
  </w:num>
  <w:num w:numId="26" w16cid:durableId="1823739545">
    <w:abstractNumId w:val="13"/>
  </w:num>
  <w:num w:numId="27" w16cid:durableId="795374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A6E"/>
    <w:rsid w:val="00001E37"/>
    <w:rsid w:val="00002952"/>
    <w:rsid w:val="00003C9C"/>
    <w:rsid w:val="0000475B"/>
    <w:rsid w:val="00005AC0"/>
    <w:rsid w:val="000077B8"/>
    <w:rsid w:val="000102A2"/>
    <w:rsid w:val="00010F55"/>
    <w:rsid w:val="00011897"/>
    <w:rsid w:val="0001247D"/>
    <w:rsid w:val="00012A06"/>
    <w:rsid w:val="00014B66"/>
    <w:rsid w:val="00014FDA"/>
    <w:rsid w:val="000151AA"/>
    <w:rsid w:val="00020B0A"/>
    <w:rsid w:val="00020FF2"/>
    <w:rsid w:val="00021228"/>
    <w:rsid w:val="00022C1D"/>
    <w:rsid w:val="00023FD5"/>
    <w:rsid w:val="000253DF"/>
    <w:rsid w:val="00025F4A"/>
    <w:rsid w:val="00030604"/>
    <w:rsid w:val="000320E4"/>
    <w:rsid w:val="000340FB"/>
    <w:rsid w:val="000342FF"/>
    <w:rsid w:val="00035CEA"/>
    <w:rsid w:val="00036487"/>
    <w:rsid w:val="000368A2"/>
    <w:rsid w:val="00036EBE"/>
    <w:rsid w:val="0004156B"/>
    <w:rsid w:val="000459B7"/>
    <w:rsid w:val="00047CA4"/>
    <w:rsid w:val="00047CB7"/>
    <w:rsid w:val="00050B61"/>
    <w:rsid w:val="000511A4"/>
    <w:rsid w:val="00052401"/>
    <w:rsid w:val="0005294D"/>
    <w:rsid w:val="00054727"/>
    <w:rsid w:val="00065646"/>
    <w:rsid w:val="0006596E"/>
    <w:rsid w:val="00065D27"/>
    <w:rsid w:val="00066528"/>
    <w:rsid w:val="000679A9"/>
    <w:rsid w:val="00070FB9"/>
    <w:rsid w:val="00072ED5"/>
    <w:rsid w:val="00077D18"/>
    <w:rsid w:val="00077F45"/>
    <w:rsid w:val="00082E15"/>
    <w:rsid w:val="00082E51"/>
    <w:rsid w:val="0008308E"/>
    <w:rsid w:val="00083155"/>
    <w:rsid w:val="00086E27"/>
    <w:rsid w:val="00086EFD"/>
    <w:rsid w:val="0008703A"/>
    <w:rsid w:val="00090D1C"/>
    <w:rsid w:val="00091655"/>
    <w:rsid w:val="000921D0"/>
    <w:rsid w:val="00094C97"/>
    <w:rsid w:val="00095648"/>
    <w:rsid w:val="000A0ACF"/>
    <w:rsid w:val="000A2701"/>
    <w:rsid w:val="000A306E"/>
    <w:rsid w:val="000A4082"/>
    <w:rsid w:val="000A665D"/>
    <w:rsid w:val="000A6FE8"/>
    <w:rsid w:val="000B05CA"/>
    <w:rsid w:val="000B105B"/>
    <w:rsid w:val="000B2688"/>
    <w:rsid w:val="000B2F97"/>
    <w:rsid w:val="000B623A"/>
    <w:rsid w:val="000B627E"/>
    <w:rsid w:val="000C19BA"/>
    <w:rsid w:val="000C433F"/>
    <w:rsid w:val="000C46E6"/>
    <w:rsid w:val="000C6D57"/>
    <w:rsid w:val="000C7B3D"/>
    <w:rsid w:val="000C7C44"/>
    <w:rsid w:val="000D0487"/>
    <w:rsid w:val="000D0765"/>
    <w:rsid w:val="000D07FF"/>
    <w:rsid w:val="000D240B"/>
    <w:rsid w:val="000D2C34"/>
    <w:rsid w:val="000D307B"/>
    <w:rsid w:val="000D4E0E"/>
    <w:rsid w:val="000E0A24"/>
    <w:rsid w:val="000E1014"/>
    <w:rsid w:val="000E125D"/>
    <w:rsid w:val="000E14C3"/>
    <w:rsid w:val="000E1BFD"/>
    <w:rsid w:val="000E2909"/>
    <w:rsid w:val="000E4F5B"/>
    <w:rsid w:val="000E577E"/>
    <w:rsid w:val="000E5B99"/>
    <w:rsid w:val="000E69EE"/>
    <w:rsid w:val="000E7571"/>
    <w:rsid w:val="000F01A8"/>
    <w:rsid w:val="000F0E83"/>
    <w:rsid w:val="000F4418"/>
    <w:rsid w:val="000F69A8"/>
    <w:rsid w:val="000F6C62"/>
    <w:rsid w:val="000F728D"/>
    <w:rsid w:val="000F7655"/>
    <w:rsid w:val="00100A9E"/>
    <w:rsid w:val="00100AA2"/>
    <w:rsid w:val="0010104A"/>
    <w:rsid w:val="00101888"/>
    <w:rsid w:val="00102EF0"/>
    <w:rsid w:val="001034FB"/>
    <w:rsid w:val="0010565E"/>
    <w:rsid w:val="00107500"/>
    <w:rsid w:val="00110705"/>
    <w:rsid w:val="0011374B"/>
    <w:rsid w:val="00115FE3"/>
    <w:rsid w:val="0011603C"/>
    <w:rsid w:val="00116413"/>
    <w:rsid w:val="0011680D"/>
    <w:rsid w:val="001211C7"/>
    <w:rsid w:val="00131117"/>
    <w:rsid w:val="00133685"/>
    <w:rsid w:val="00133EE7"/>
    <w:rsid w:val="001356E1"/>
    <w:rsid w:val="001372D3"/>
    <w:rsid w:val="00137421"/>
    <w:rsid w:val="001409FD"/>
    <w:rsid w:val="00140A6C"/>
    <w:rsid w:val="00142D28"/>
    <w:rsid w:val="001436C0"/>
    <w:rsid w:val="0014406E"/>
    <w:rsid w:val="00144D59"/>
    <w:rsid w:val="0014662B"/>
    <w:rsid w:val="00147319"/>
    <w:rsid w:val="0014762B"/>
    <w:rsid w:val="00150D4D"/>
    <w:rsid w:val="00154501"/>
    <w:rsid w:val="001557FC"/>
    <w:rsid w:val="00155C76"/>
    <w:rsid w:val="00156028"/>
    <w:rsid w:val="00160F2B"/>
    <w:rsid w:val="00161A74"/>
    <w:rsid w:val="001642CF"/>
    <w:rsid w:val="00170BBF"/>
    <w:rsid w:val="0017130E"/>
    <w:rsid w:val="0017487A"/>
    <w:rsid w:val="00174966"/>
    <w:rsid w:val="00175979"/>
    <w:rsid w:val="00177393"/>
    <w:rsid w:val="001832ED"/>
    <w:rsid w:val="0018575C"/>
    <w:rsid w:val="00194570"/>
    <w:rsid w:val="001967EB"/>
    <w:rsid w:val="001A7E7A"/>
    <w:rsid w:val="001B00E5"/>
    <w:rsid w:val="001B3611"/>
    <w:rsid w:val="001B66B6"/>
    <w:rsid w:val="001C0707"/>
    <w:rsid w:val="001C13CA"/>
    <w:rsid w:val="001C16D2"/>
    <w:rsid w:val="001C1C5C"/>
    <w:rsid w:val="001C1F22"/>
    <w:rsid w:val="001C3707"/>
    <w:rsid w:val="001C43E4"/>
    <w:rsid w:val="001C670B"/>
    <w:rsid w:val="001D0939"/>
    <w:rsid w:val="001D2111"/>
    <w:rsid w:val="001D2301"/>
    <w:rsid w:val="001D4082"/>
    <w:rsid w:val="001D5344"/>
    <w:rsid w:val="001D59D9"/>
    <w:rsid w:val="001D6FE4"/>
    <w:rsid w:val="001E1BD4"/>
    <w:rsid w:val="001E3F9A"/>
    <w:rsid w:val="001E48DB"/>
    <w:rsid w:val="001E4DEC"/>
    <w:rsid w:val="001E5345"/>
    <w:rsid w:val="001E549F"/>
    <w:rsid w:val="001E7113"/>
    <w:rsid w:val="001E7196"/>
    <w:rsid w:val="001E72CD"/>
    <w:rsid w:val="001F00C4"/>
    <w:rsid w:val="001F1C64"/>
    <w:rsid w:val="001F4AD9"/>
    <w:rsid w:val="0020587B"/>
    <w:rsid w:val="00210AED"/>
    <w:rsid w:val="002118CC"/>
    <w:rsid w:val="00212293"/>
    <w:rsid w:val="0021515C"/>
    <w:rsid w:val="00215ED3"/>
    <w:rsid w:val="00215ED6"/>
    <w:rsid w:val="0021635D"/>
    <w:rsid w:val="002164CF"/>
    <w:rsid w:val="002169C5"/>
    <w:rsid w:val="00216C70"/>
    <w:rsid w:val="00217AF1"/>
    <w:rsid w:val="0022056F"/>
    <w:rsid w:val="00221677"/>
    <w:rsid w:val="0022282D"/>
    <w:rsid w:val="00223B26"/>
    <w:rsid w:val="00223DDE"/>
    <w:rsid w:val="0022436D"/>
    <w:rsid w:val="0022448E"/>
    <w:rsid w:val="0023010F"/>
    <w:rsid w:val="00230AB6"/>
    <w:rsid w:val="0023156F"/>
    <w:rsid w:val="0023205C"/>
    <w:rsid w:val="002359E4"/>
    <w:rsid w:val="00236410"/>
    <w:rsid w:val="002372FC"/>
    <w:rsid w:val="00240ECE"/>
    <w:rsid w:val="00241AC1"/>
    <w:rsid w:val="00243753"/>
    <w:rsid w:val="002460F0"/>
    <w:rsid w:val="00252787"/>
    <w:rsid w:val="002527C6"/>
    <w:rsid w:val="00252FFC"/>
    <w:rsid w:val="002548C1"/>
    <w:rsid w:val="00255796"/>
    <w:rsid w:val="00264E6D"/>
    <w:rsid w:val="00265180"/>
    <w:rsid w:val="002658D3"/>
    <w:rsid w:val="00265EC7"/>
    <w:rsid w:val="00266520"/>
    <w:rsid w:val="00270B28"/>
    <w:rsid w:val="00272800"/>
    <w:rsid w:val="0027567D"/>
    <w:rsid w:val="00280F5E"/>
    <w:rsid w:val="0028240C"/>
    <w:rsid w:val="00283F6C"/>
    <w:rsid w:val="00291924"/>
    <w:rsid w:val="00291EB9"/>
    <w:rsid w:val="00292A0B"/>
    <w:rsid w:val="002937FD"/>
    <w:rsid w:val="00293BEF"/>
    <w:rsid w:val="002948A5"/>
    <w:rsid w:val="00296631"/>
    <w:rsid w:val="002A001D"/>
    <w:rsid w:val="002A01CF"/>
    <w:rsid w:val="002A22FC"/>
    <w:rsid w:val="002A2CEB"/>
    <w:rsid w:val="002A38E4"/>
    <w:rsid w:val="002A3FDB"/>
    <w:rsid w:val="002A5E37"/>
    <w:rsid w:val="002A60B4"/>
    <w:rsid w:val="002A6544"/>
    <w:rsid w:val="002B11C9"/>
    <w:rsid w:val="002B2163"/>
    <w:rsid w:val="002B49C4"/>
    <w:rsid w:val="002B5907"/>
    <w:rsid w:val="002B5EC7"/>
    <w:rsid w:val="002B7909"/>
    <w:rsid w:val="002C09DB"/>
    <w:rsid w:val="002C16AC"/>
    <w:rsid w:val="002C5727"/>
    <w:rsid w:val="002C599A"/>
    <w:rsid w:val="002C5BB8"/>
    <w:rsid w:val="002C7D83"/>
    <w:rsid w:val="002D1DEF"/>
    <w:rsid w:val="002D48FD"/>
    <w:rsid w:val="002E205A"/>
    <w:rsid w:val="002E369F"/>
    <w:rsid w:val="002E3C73"/>
    <w:rsid w:val="002E3E6A"/>
    <w:rsid w:val="002E4DCE"/>
    <w:rsid w:val="002E5621"/>
    <w:rsid w:val="002E79DD"/>
    <w:rsid w:val="002F168C"/>
    <w:rsid w:val="002F171F"/>
    <w:rsid w:val="002F1FCC"/>
    <w:rsid w:val="002F23C8"/>
    <w:rsid w:val="002F3798"/>
    <w:rsid w:val="002F4ADA"/>
    <w:rsid w:val="002F57EB"/>
    <w:rsid w:val="003005AE"/>
    <w:rsid w:val="003018D3"/>
    <w:rsid w:val="00305AF3"/>
    <w:rsid w:val="00316321"/>
    <w:rsid w:val="00321757"/>
    <w:rsid w:val="00321E9E"/>
    <w:rsid w:val="00330088"/>
    <w:rsid w:val="00330845"/>
    <w:rsid w:val="0033152B"/>
    <w:rsid w:val="00332E86"/>
    <w:rsid w:val="00333AB2"/>
    <w:rsid w:val="00335F9C"/>
    <w:rsid w:val="00340353"/>
    <w:rsid w:val="00340655"/>
    <w:rsid w:val="003415AD"/>
    <w:rsid w:val="00341C0A"/>
    <w:rsid w:val="00345775"/>
    <w:rsid w:val="00347C36"/>
    <w:rsid w:val="0035055F"/>
    <w:rsid w:val="00352CE8"/>
    <w:rsid w:val="003628AF"/>
    <w:rsid w:val="003637F3"/>
    <w:rsid w:val="00364B60"/>
    <w:rsid w:val="00365237"/>
    <w:rsid w:val="003656C2"/>
    <w:rsid w:val="00365CCE"/>
    <w:rsid w:val="003661FC"/>
    <w:rsid w:val="003678B1"/>
    <w:rsid w:val="00374FCE"/>
    <w:rsid w:val="0037545B"/>
    <w:rsid w:val="00375D9F"/>
    <w:rsid w:val="00377236"/>
    <w:rsid w:val="00380296"/>
    <w:rsid w:val="003819F9"/>
    <w:rsid w:val="00382238"/>
    <w:rsid w:val="00382562"/>
    <w:rsid w:val="0038350F"/>
    <w:rsid w:val="003839A7"/>
    <w:rsid w:val="00384F6D"/>
    <w:rsid w:val="00385F9E"/>
    <w:rsid w:val="00386BFC"/>
    <w:rsid w:val="0039062B"/>
    <w:rsid w:val="003922A9"/>
    <w:rsid w:val="0039295E"/>
    <w:rsid w:val="00393489"/>
    <w:rsid w:val="00396858"/>
    <w:rsid w:val="00396CFF"/>
    <w:rsid w:val="00397FC1"/>
    <w:rsid w:val="003A1CA1"/>
    <w:rsid w:val="003A36D7"/>
    <w:rsid w:val="003A7EA7"/>
    <w:rsid w:val="003B4602"/>
    <w:rsid w:val="003B50F2"/>
    <w:rsid w:val="003B56F5"/>
    <w:rsid w:val="003B5A35"/>
    <w:rsid w:val="003C04D4"/>
    <w:rsid w:val="003C1053"/>
    <w:rsid w:val="003C2811"/>
    <w:rsid w:val="003C4C80"/>
    <w:rsid w:val="003C53D1"/>
    <w:rsid w:val="003C6A96"/>
    <w:rsid w:val="003C6D7E"/>
    <w:rsid w:val="003D1818"/>
    <w:rsid w:val="003D221A"/>
    <w:rsid w:val="003D2A14"/>
    <w:rsid w:val="003D2BB8"/>
    <w:rsid w:val="003D3CDB"/>
    <w:rsid w:val="003D5B91"/>
    <w:rsid w:val="003D5D2C"/>
    <w:rsid w:val="003D757D"/>
    <w:rsid w:val="003E01CC"/>
    <w:rsid w:val="003E0466"/>
    <w:rsid w:val="003E0659"/>
    <w:rsid w:val="003E25CF"/>
    <w:rsid w:val="003E31BE"/>
    <w:rsid w:val="003E5327"/>
    <w:rsid w:val="003E5864"/>
    <w:rsid w:val="003E5F14"/>
    <w:rsid w:val="003E6140"/>
    <w:rsid w:val="003E70C4"/>
    <w:rsid w:val="003F0CB5"/>
    <w:rsid w:val="003F2F0E"/>
    <w:rsid w:val="003F54E7"/>
    <w:rsid w:val="003F7AB2"/>
    <w:rsid w:val="003F7F5C"/>
    <w:rsid w:val="00401063"/>
    <w:rsid w:val="00401CA6"/>
    <w:rsid w:val="00404069"/>
    <w:rsid w:val="00404945"/>
    <w:rsid w:val="004066F2"/>
    <w:rsid w:val="00407F97"/>
    <w:rsid w:val="004105C6"/>
    <w:rsid w:val="00411FF0"/>
    <w:rsid w:val="00414631"/>
    <w:rsid w:val="00416E96"/>
    <w:rsid w:val="00421E54"/>
    <w:rsid w:val="00422C1A"/>
    <w:rsid w:val="00423341"/>
    <w:rsid w:val="0042365D"/>
    <w:rsid w:val="004244FC"/>
    <w:rsid w:val="00425636"/>
    <w:rsid w:val="00427CA5"/>
    <w:rsid w:val="00430B9B"/>
    <w:rsid w:val="00431C01"/>
    <w:rsid w:val="00431EB7"/>
    <w:rsid w:val="004332B1"/>
    <w:rsid w:val="004365C1"/>
    <w:rsid w:val="00436FE4"/>
    <w:rsid w:val="0043745C"/>
    <w:rsid w:val="00440332"/>
    <w:rsid w:val="00441BD7"/>
    <w:rsid w:val="00442AAF"/>
    <w:rsid w:val="00443116"/>
    <w:rsid w:val="0044352C"/>
    <w:rsid w:val="00445A72"/>
    <w:rsid w:val="00446953"/>
    <w:rsid w:val="00447C80"/>
    <w:rsid w:val="00447FBD"/>
    <w:rsid w:val="00450574"/>
    <w:rsid w:val="00450723"/>
    <w:rsid w:val="00453A68"/>
    <w:rsid w:val="004578B7"/>
    <w:rsid w:val="00457E1C"/>
    <w:rsid w:val="004628DE"/>
    <w:rsid w:val="004656D9"/>
    <w:rsid w:val="00466643"/>
    <w:rsid w:val="004666FD"/>
    <w:rsid w:val="00470BFE"/>
    <w:rsid w:val="004719AE"/>
    <w:rsid w:val="00473478"/>
    <w:rsid w:val="004740DD"/>
    <w:rsid w:val="004749CA"/>
    <w:rsid w:val="00474E31"/>
    <w:rsid w:val="004766A6"/>
    <w:rsid w:val="00480223"/>
    <w:rsid w:val="00481497"/>
    <w:rsid w:val="004847A5"/>
    <w:rsid w:val="0048514C"/>
    <w:rsid w:val="00487F76"/>
    <w:rsid w:val="004901B7"/>
    <w:rsid w:val="00490421"/>
    <w:rsid w:val="004908EF"/>
    <w:rsid w:val="00490973"/>
    <w:rsid w:val="004924F8"/>
    <w:rsid w:val="004933BF"/>
    <w:rsid w:val="00493B87"/>
    <w:rsid w:val="00494159"/>
    <w:rsid w:val="00494BD4"/>
    <w:rsid w:val="004979F8"/>
    <w:rsid w:val="004A022F"/>
    <w:rsid w:val="004A1A3A"/>
    <w:rsid w:val="004A1DBB"/>
    <w:rsid w:val="004A1E70"/>
    <w:rsid w:val="004B0282"/>
    <w:rsid w:val="004B217C"/>
    <w:rsid w:val="004B2CF5"/>
    <w:rsid w:val="004B428E"/>
    <w:rsid w:val="004B4D63"/>
    <w:rsid w:val="004B6353"/>
    <w:rsid w:val="004B6388"/>
    <w:rsid w:val="004B699A"/>
    <w:rsid w:val="004B7B01"/>
    <w:rsid w:val="004B7CE1"/>
    <w:rsid w:val="004C2EE4"/>
    <w:rsid w:val="004C318A"/>
    <w:rsid w:val="004C3E1A"/>
    <w:rsid w:val="004C68B2"/>
    <w:rsid w:val="004C78D6"/>
    <w:rsid w:val="004C7ADC"/>
    <w:rsid w:val="004D0313"/>
    <w:rsid w:val="004D1683"/>
    <w:rsid w:val="004D2C2B"/>
    <w:rsid w:val="004D3D47"/>
    <w:rsid w:val="004D5FDE"/>
    <w:rsid w:val="004D6DE7"/>
    <w:rsid w:val="004D6F52"/>
    <w:rsid w:val="004D76E2"/>
    <w:rsid w:val="004E00FB"/>
    <w:rsid w:val="004E038C"/>
    <w:rsid w:val="004E1C06"/>
    <w:rsid w:val="004E3BE1"/>
    <w:rsid w:val="004E7CB6"/>
    <w:rsid w:val="004F0589"/>
    <w:rsid w:val="004F171D"/>
    <w:rsid w:val="004F35FA"/>
    <w:rsid w:val="004F40D8"/>
    <w:rsid w:val="004F4256"/>
    <w:rsid w:val="004F6EF3"/>
    <w:rsid w:val="004F6F1C"/>
    <w:rsid w:val="004F7AC9"/>
    <w:rsid w:val="00500965"/>
    <w:rsid w:val="00502E9D"/>
    <w:rsid w:val="00503594"/>
    <w:rsid w:val="00505845"/>
    <w:rsid w:val="00505E8B"/>
    <w:rsid w:val="00507E4C"/>
    <w:rsid w:val="005103B0"/>
    <w:rsid w:val="0051256F"/>
    <w:rsid w:val="005125E2"/>
    <w:rsid w:val="00514199"/>
    <w:rsid w:val="00514F67"/>
    <w:rsid w:val="00515A92"/>
    <w:rsid w:val="0051743E"/>
    <w:rsid w:val="00517455"/>
    <w:rsid w:val="00521A66"/>
    <w:rsid w:val="00522DC2"/>
    <w:rsid w:val="005230BF"/>
    <w:rsid w:val="00524369"/>
    <w:rsid w:val="00526089"/>
    <w:rsid w:val="0053113D"/>
    <w:rsid w:val="00531965"/>
    <w:rsid w:val="00532D30"/>
    <w:rsid w:val="005334C1"/>
    <w:rsid w:val="0054132E"/>
    <w:rsid w:val="00541C1A"/>
    <w:rsid w:val="005429C4"/>
    <w:rsid w:val="00542A8E"/>
    <w:rsid w:val="00542D3C"/>
    <w:rsid w:val="0054461A"/>
    <w:rsid w:val="0054502A"/>
    <w:rsid w:val="00547BC8"/>
    <w:rsid w:val="00550170"/>
    <w:rsid w:val="00552F02"/>
    <w:rsid w:val="0055358D"/>
    <w:rsid w:val="0055454C"/>
    <w:rsid w:val="005549E6"/>
    <w:rsid w:val="005564DD"/>
    <w:rsid w:val="00557537"/>
    <w:rsid w:val="00561B81"/>
    <w:rsid w:val="00562588"/>
    <w:rsid w:val="00562FEF"/>
    <w:rsid w:val="00566AC8"/>
    <w:rsid w:val="00571B10"/>
    <w:rsid w:val="00572358"/>
    <w:rsid w:val="00573DFD"/>
    <w:rsid w:val="00575C4F"/>
    <w:rsid w:val="00577222"/>
    <w:rsid w:val="00581359"/>
    <w:rsid w:val="005817E2"/>
    <w:rsid w:val="00582CF0"/>
    <w:rsid w:val="00583567"/>
    <w:rsid w:val="00585F27"/>
    <w:rsid w:val="00586520"/>
    <w:rsid w:val="0059130A"/>
    <w:rsid w:val="00591DD4"/>
    <w:rsid w:val="005927CF"/>
    <w:rsid w:val="00592DB9"/>
    <w:rsid w:val="00593ADC"/>
    <w:rsid w:val="005941F1"/>
    <w:rsid w:val="00594520"/>
    <w:rsid w:val="005954AC"/>
    <w:rsid w:val="00596506"/>
    <w:rsid w:val="00597E49"/>
    <w:rsid w:val="00597F4E"/>
    <w:rsid w:val="005A5B6B"/>
    <w:rsid w:val="005A63E7"/>
    <w:rsid w:val="005A682B"/>
    <w:rsid w:val="005B0196"/>
    <w:rsid w:val="005B26B3"/>
    <w:rsid w:val="005B33D3"/>
    <w:rsid w:val="005B68D1"/>
    <w:rsid w:val="005B7E5E"/>
    <w:rsid w:val="005C056C"/>
    <w:rsid w:val="005C12CD"/>
    <w:rsid w:val="005C15AC"/>
    <w:rsid w:val="005C2F3B"/>
    <w:rsid w:val="005C4341"/>
    <w:rsid w:val="005C53E4"/>
    <w:rsid w:val="005C6B7A"/>
    <w:rsid w:val="005C7C84"/>
    <w:rsid w:val="005D0F70"/>
    <w:rsid w:val="005D188F"/>
    <w:rsid w:val="005D327E"/>
    <w:rsid w:val="005D64DA"/>
    <w:rsid w:val="005D6863"/>
    <w:rsid w:val="005E2069"/>
    <w:rsid w:val="005E4EAF"/>
    <w:rsid w:val="005E543A"/>
    <w:rsid w:val="005E78B8"/>
    <w:rsid w:val="005F023A"/>
    <w:rsid w:val="005F285C"/>
    <w:rsid w:val="005F4A94"/>
    <w:rsid w:val="005F751D"/>
    <w:rsid w:val="00600EED"/>
    <w:rsid w:val="00605997"/>
    <w:rsid w:val="00606155"/>
    <w:rsid w:val="00610855"/>
    <w:rsid w:val="00613758"/>
    <w:rsid w:val="00614577"/>
    <w:rsid w:val="00617EB3"/>
    <w:rsid w:val="00620641"/>
    <w:rsid w:val="00620C78"/>
    <w:rsid w:val="006222C6"/>
    <w:rsid w:val="00624AE3"/>
    <w:rsid w:val="0062626D"/>
    <w:rsid w:val="006325DE"/>
    <w:rsid w:val="00633AFD"/>
    <w:rsid w:val="006355B9"/>
    <w:rsid w:val="00637BCD"/>
    <w:rsid w:val="00641962"/>
    <w:rsid w:val="00644031"/>
    <w:rsid w:val="006443BB"/>
    <w:rsid w:val="00644A2E"/>
    <w:rsid w:val="00645D8E"/>
    <w:rsid w:val="00647E75"/>
    <w:rsid w:val="0065008A"/>
    <w:rsid w:val="00652973"/>
    <w:rsid w:val="00653AB7"/>
    <w:rsid w:val="00656278"/>
    <w:rsid w:val="006576FC"/>
    <w:rsid w:val="00657A4E"/>
    <w:rsid w:val="006600A7"/>
    <w:rsid w:val="006606F5"/>
    <w:rsid w:val="0066511A"/>
    <w:rsid w:val="00665AD9"/>
    <w:rsid w:val="006665BE"/>
    <w:rsid w:val="00666986"/>
    <w:rsid w:val="0067345B"/>
    <w:rsid w:val="00676400"/>
    <w:rsid w:val="00676589"/>
    <w:rsid w:val="00677142"/>
    <w:rsid w:val="006814D9"/>
    <w:rsid w:val="00682016"/>
    <w:rsid w:val="0068209B"/>
    <w:rsid w:val="00682B17"/>
    <w:rsid w:val="00684FBC"/>
    <w:rsid w:val="00687873"/>
    <w:rsid w:val="00691ADF"/>
    <w:rsid w:val="00691F11"/>
    <w:rsid w:val="00692DB9"/>
    <w:rsid w:val="00693944"/>
    <w:rsid w:val="006958BF"/>
    <w:rsid w:val="00695FBD"/>
    <w:rsid w:val="006A0318"/>
    <w:rsid w:val="006A14E7"/>
    <w:rsid w:val="006A2E91"/>
    <w:rsid w:val="006A32FF"/>
    <w:rsid w:val="006A5C1F"/>
    <w:rsid w:val="006A6765"/>
    <w:rsid w:val="006A67EF"/>
    <w:rsid w:val="006A7299"/>
    <w:rsid w:val="006B123B"/>
    <w:rsid w:val="006B1B8D"/>
    <w:rsid w:val="006B4468"/>
    <w:rsid w:val="006C05E0"/>
    <w:rsid w:val="006C0692"/>
    <w:rsid w:val="006C0CC5"/>
    <w:rsid w:val="006C48A1"/>
    <w:rsid w:val="006C4F48"/>
    <w:rsid w:val="006C5A96"/>
    <w:rsid w:val="006C614A"/>
    <w:rsid w:val="006C68F1"/>
    <w:rsid w:val="006D0A3E"/>
    <w:rsid w:val="006D29F8"/>
    <w:rsid w:val="006D4B8F"/>
    <w:rsid w:val="006E0CC1"/>
    <w:rsid w:val="006E0FBB"/>
    <w:rsid w:val="006E1D40"/>
    <w:rsid w:val="006E201B"/>
    <w:rsid w:val="006E7C13"/>
    <w:rsid w:val="006F01F4"/>
    <w:rsid w:val="006F0B34"/>
    <w:rsid w:val="006F185B"/>
    <w:rsid w:val="006F19A1"/>
    <w:rsid w:val="006F3B35"/>
    <w:rsid w:val="006F3D07"/>
    <w:rsid w:val="006F5056"/>
    <w:rsid w:val="006F621E"/>
    <w:rsid w:val="006F6957"/>
    <w:rsid w:val="007013B8"/>
    <w:rsid w:val="00701499"/>
    <w:rsid w:val="00702B8C"/>
    <w:rsid w:val="007042F7"/>
    <w:rsid w:val="00704EB0"/>
    <w:rsid w:val="00705555"/>
    <w:rsid w:val="00710B68"/>
    <w:rsid w:val="007112F7"/>
    <w:rsid w:val="0071232C"/>
    <w:rsid w:val="007123AA"/>
    <w:rsid w:val="00713CBB"/>
    <w:rsid w:val="00714337"/>
    <w:rsid w:val="0071719D"/>
    <w:rsid w:val="00722900"/>
    <w:rsid w:val="00722D95"/>
    <w:rsid w:val="00724363"/>
    <w:rsid w:val="00725344"/>
    <w:rsid w:val="00726C5E"/>
    <w:rsid w:val="00727EB7"/>
    <w:rsid w:val="00727EB8"/>
    <w:rsid w:val="00732BD3"/>
    <w:rsid w:val="0073383F"/>
    <w:rsid w:val="00734E52"/>
    <w:rsid w:val="007357CC"/>
    <w:rsid w:val="00737BCD"/>
    <w:rsid w:val="007400D8"/>
    <w:rsid w:val="00741855"/>
    <w:rsid w:val="00743BC4"/>
    <w:rsid w:val="00744E9E"/>
    <w:rsid w:val="00750066"/>
    <w:rsid w:val="007520DC"/>
    <w:rsid w:val="007527D5"/>
    <w:rsid w:val="007551BC"/>
    <w:rsid w:val="007554EA"/>
    <w:rsid w:val="00757A5E"/>
    <w:rsid w:val="00761481"/>
    <w:rsid w:val="00762736"/>
    <w:rsid w:val="00762EE4"/>
    <w:rsid w:val="00764123"/>
    <w:rsid w:val="00766498"/>
    <w:rsid w:val="00770931"/>
    <w:rsid w:val="00770B66"/>
    <w:rsid w:val="00770C79"/>
    <w:rsid w:val="00771D98"/>
    <w:rsid w:val="0078302C"/>
    <w:rsid w:val="00784B64"/>
    <w:rsid w:val="007868F1"/>
    <w:rsid w:val="007922D7"/>
    <w:rsid w:val="007931CC"/>
    <w:rsid w:val="0079541F"/>
    <w:rsid w:val="00796867"/>
    <w:rsid w:val="00796F11"/>
    <w:rsid w:val="00796F94"/>
    <w:rsid w:val="007A3F52"/>
    <w:rsid w:val="007A6DAA"/>
    <w:rsid w:val="007B1218"/>
    <w:rsid w:val="007B70F7"/>
    <w:rsid w:val="007B7946"/>
    <w:rsid w:val="007C0EBB"/>
    <w:rsid w:val="007C3857"/>
    <w:rsid w:val="007C4E82"/>
    <w:rsid w:val="007C527E"/>
    <w:rsid w:val="007D1686"/>
    <w:rsid w:val="007D19A5"/>
    <w:rsid w:val="007D1F0A"/>
    <w:rsid w:val="007D20AA"/>
    <w:rsid w:val="007D4A8B"/>
    <w:rsid w:val="007D65D3"/>
    <w:rsid w:val="007D6951"/>
    <w:rsid w:val="007D7EFE"/>
    <w:rsid w:val="007E1221"/>
    <w:rsid w:val="007E51D9"/>
    <w:rsid w:val="007E5C16"/>
    <w:rsid w:val="007E6920"/>
    <w:rsid w:val="007F1F82"/>
    <w:rsid w:val="007F4916"/>
    <w:rsid w:val="007F57DE"/>
    <w:rsid w:val="007F6B4C"/>
    <w:rsid w:val="008030DF"/>
    <w:rsid w:val="008033B9"/>
    <w:rsid w:val="00804B49"/>
    <w:rsid w:val="00804C85"/>
    <w:rsid w:val="0080630F"/>
    <w:rsid w:val="0080663F"/>
    <w:rsid w:val="008116F5"/>
    <w:rsid w:val="008118E8"/>
    <w:rsid w:val="00813365"/>
    <w:rsid w:val="008143EC"/>
    <w:rsid w:val="00814B56"/>
    <w:rsid w:val="00815E91"/>
    <w:rsid w:val="008161BC"/>
    <w:rsid w:val="008165DC"/>
    <w:rsid w:val="00822198"/>
    <w:rsid w:val="00822AC3"/>
    <w:rsid w:val="00823139"/>
    <w:rsid w:val="00823A06"/>
    <w:rsid w:val="00823A61"/>
    <w:rsid w:val="00824618"/>
    <w:rsid w:val="008269B7"/>
    <w:rsid w:val="00826F36"/>
    <w:rsid w:val="0082739C"/>
    <w:rsid w:val="008304EC"/>
    <w:rsid w:val="008306CA"/>
    <w:rsid w:val="00830BCE"/>
    <w:rsid w:val="00831A27"/>
    <w:rsid w:val="0083336C"/>
    <w:rsid w:val="008355BA"/>
    <w:rsid w:val="0083586D"/>
    <w:rsid w:val="00837837"/>
    <w:rsid w:val="00837CA5"/>
    <w:rsid w:val="00837F73"/>
    <w:rsid w:val="00840C75"/>
    <w:rsid w:val="00841639"/>
    <w:rsid w:val="00843628"/>
    <w:rsid w:val="00844ADE"/>
    <w:rsid w:val="00846672"/>
    <w:rsid w:val="00855316"/>
    <w:rsid w:val="00855818"/>
    <w:rsid w:val="00863B62"/>
    <w:rsid w:val="00863C30"/>
    <w:rsid w:val="0086466C"/>
    <w:rsid w:val="00864A75"/>
    <w:rsid w:val="0086520E"/>
    <w:rsid w:val="00865413"/>
    <w:rsid w:val="008665F4"/>
    <w:rsid w:val="0087215F"/>
    <w:rsid w:val="008724D6"/>
    <w:rsid w:val="00872820"/>
    <w:rsid w:val="00876CC7"/>
    <w:rsid w:val="00877519"/>
    <w:rsid w:val="00877538"/>
    <w:rsid w:val="00880080"/>
    <w:rsid w:val="00880994"/>
    <w:rsid w:val="00881051"/>
    <w:rsid w:val="00882AB8"/>
    <w:rsid w:val="00882F80"/>
    <w:rsid w:val="008843EF"/>
    <w:rsid w:val="00885FEA"/>
    <w:rsid w:val="00887416"/>
    <w:rsid w:val="008876A2"/>
    <w:rsid w:val="0089075D"/>
    <w:rsid w:val="00891012"/>
    <w:rsid w:val="00892386"/>
    <w:rsid w:val="00892732"/>
    <w:rsid w:val="00893209"/>
    <w:rsid w:val="00893CA3"/>
    <w:rsid w:val="00894560"/>
    <w:rsid w:val="00894629"/>
    <w:rsid w:val="0089683D"/>
    <w:rsid w:val="00897BBC"/>
    <w:rsid w:val="008A1EFE"/>
    <w:rsid w:val="008A2B6A"/>
    <w:rsid w:val="008A42F4"/>
    <w:rsid w:val="008A4793"/>
    <w:rsid w:val="008A4C2E"/>
    <w:rsid w:val="008B2F11"/>
    <w:rsid w:val="008B5359"/>
    <w:rsid w:val="008B66DD"/>
    <w:rsid w:val="008C128E"/>
    <w:rsid w:val="008C2039"/>
    <w:rsid w:val="008C2A71"/>
    <w:rsid w:val="008C4C28"/>
    <w:rsid w:val="008C5C2B"/>
    <w:rsid w:val="008D1872"/>
    <w:rsid w:val="008D6BEB"/>
    <w:rsid w:val="008E0602"/>
    <w:rsid w:val="008E10A4"/>
    <w:rsid w:val="008E4D3B"/>
    <w:rsid w:val="008E61DF"/>
    <w:rsid w:val="008E683F"/>
    <w:rsid w:val="008E7C5D"/>
    <w:rsid w:val="008F00C1"/>
    <w:rsid w:val="008F1B4D"/>
    <w:rsid w:val="008F2F59"/>
    <w:rsid w:val="008F3348"/>
    <w:rsid w:val="008F54A2"/>
    <w:rsid w:val="008F57E2"/>
    <w:rsid w:val="008F5A7C"/>
    <w:rsid w:val="008F6718"/>
    <w:rsid w:val="008F6B40"/>
    <w:rsid w:val="008F70E7"/>
    <w:rsid w:val="008F793F"/>
    <w:rsid w:val="009015FA"/>
    <w:rsid w:val="00905E8D"/>
    <w:rsid w:val="00910B7B"/>
    <w:rsid w:val="00913F3E"/>
    <w:rsid w:val="00914D94"/>
    <w:rsid w:val="00916389"/>
    <w:rsid w:val="0091671E"/>
    <w:rsid w:val="009252B8"/>
    <w:rsid w:val="009256FC"/>
    <w:rsid w:val="00925C01"/>
    <w:rsid w:val="009260AC"/>
    <w:rsid w:val="00926F92"/>
    <w:rsid w:val="00930BA2"/>
    <w:rsid w:val="00932091"/>
    <w:rsid w:val="009320BB"/>
    <w:rsid w:val="009357E2"/>
    <w:rsid w:val="00935D9E"/>
    <w:rsid w:val="0093719D"/>
    <w:rsid w:val="0094038C"/>
    <w:rsid w:val="0094308C"/>
    <w:rsid w:val="0094462A"/>
    <w:rsid w:val="009448EC"/>
    <w:rsid w:val="00945AF7"/>
    <w:rsid w:val="00946E86"/>
    <w:rsid w:val="00955CCA"/>
    <w:rsid w:val="00956ABC"/>
    <w:rsid w:val="00960346"/>
    <w:rsid w:val="00961847"/>
    <w:rsid w:val="0096281D"/>
    <w:rsid w:val="00965598"/>
    <w:rsid w:val="00965B11"/>
    <w:rsid w:val="009666FD"/>
    <w:rsid w:val="00966A91"/>
    <w:rsid w:val="00967D0C"/>
    <w:rsid w:val="00970E85"/>
    <w:rsid w:val="00972795"/>
    <w:rsid w:val="0097430A"/>
    <w:rsid w:val="00975E8C"/>
    <w:rsid w:val="009768AA"/>
    <w:rsid w:val="009818E1"/>
    <w:rsid w:val="00982BD6"/>
    <w:rsid w:val="0098307D"/>
    <w:rsid w:val="0098374A"/>
    <w:rsid w:val="009840A2"/>
    <w:rsid w:val="00985BAF"/>
    <w:rsid w:val="009863AE"/>
    <w:rsid w:val="00987310"/>
    <w:rsid w:val="00990ED2"/>
    <w:rsid w:val="00990FA6"/>
    <w:rsid w:val="00993667"/>
    <w:rsid w:val="0099465D"/>
    <w:rsid w:val="009948D2"/>
    <w:rsid w:val="00995647"/>
    <w:rsid w:val="009956D5"/>
    <w:rsid w:val="009976CD"/>
    <w:rsid w:val="009A4619"/>
    <w:rsid w:val="009A4BF9"/>
    <w:rsid w:val="009A591F"/>
    <w:rsid w:val="009A6237"/>
    <w:rsid w:val="009A67CE"/>
    <w:rsid w:val="009A6B7B"/>
    <w:rsid w:val="009A7C01"/>
    <w:rsid w:val="009B380C"/>
    <w:rsid w:val="009B5310"/>
    <w:rsid w:val="009B6514"/>
    <w:rsid w:val="009B6663"/>
    <w:rsid w:val="009C021F"/>
    <w:rsid w:val="009C1CCB"/>
    <w:rsid w:val="009C444A"/>
    <w:rsid w:val="009C5291"/>
    <w:rsid w:val="009C55D8"/>
    <w:rsid w:val="009C6554"/>
    <w:rsid w:val="009D0880"/>
    <w:rsid w:val="009D0DC8"/>
    <w:rsid w:val="009D127B"/>
    <w:rsid w:val="009D14BC"/>
    <w:rsid w:val="009D4776"/>
    <w:rsid w:val="009D65A9"/>
    <w:rsid w:val="009D715B"/>
    <w:rsid w:val="009D7CF0"/>
    <w:rsid w:val="009E271C"/>
    <w:rsid w:val="009E3FE8"/>
    <w:rsid w:val="009E4D1C"/>
    <w:rsid w:val="009E5721"/>
    <w:rsid w:val="009E5722"/>
    <w:rsid w:val="009E6B83"/>
    <w:rsid w:val="009F0D42"/>
    <w:rsid w:val="009F1FF1"/>
    <w:rsid w:val="009F5511"/>
    <w:rsid w:val="00A006E0"/>
    <w:rsid w:val="00A01818"/>
    <w:rsid w:val="00A02357"/>
    <w:rsid w:val="00A04504"/>
    <w:rsid w:val="00A06ECB"/>
    <w:rsid w:val="00A07A5E"/>
    <w:rsid w:val="00A115FF"/>
    <w:rsid w:val="00A12B7B"/>
    <w:rsid w:val="00A13567"/>
    <w:rsid w:val="00A14D4E"/>
    <w:rsid w:val="00A156E6"/>
    <w:rsid w:val="00A17A95"/>
    <w:rsid w:val="00A20793"/>
    <w:rsid w:val="00A26FF6"/>
    <w:rsid w:val="00A27D4E"/>
    <w:rsid w:val="00A305C7"/>
    <w:rsid w:val="00A33413"/>
    <w:rsid w:val="00A3401D"/>
    <w:rsid w:val="00A3445D"/>
    <w:rsid w:val="00A3480A"/>
    <w:rsid w:val="00A3593E"/>
    <w:rsid w:val="00A35D12"/>
    <w:rsid w:val="00A35DCD"/>
    <w:rsid w:val="00A37FF8"/>
    <w:rsid w:val="00A413EE"/>
    <w:rsid w:val="00A4407C"/>
    <w:rsid w:val="00A4448E"/>
    <w:rsid w:val="00A45D3F"/>
    <w:rsid w:val="00A45FDA"/>
    <w:rsid w:val="00A5023E"/>
    <w:rsid w:val="00A51370"/>
    <w:rsid w:val="00A53A65"/>
    <w:rsid w:val="00A55B00"/>
    <w:rsid w:val="00A55DA6"/>
    <w:rsid w:val="00A61F42"/>
    <w:rsid w:val="00A62025"/>
    <w:rsid w:val="00A62FB1"/>
    <w:rsid w:val="00A653C4"/>
    <w:rsid w:val="00A6707F"/>
    <w:rsid w:val="00A72E5A"/>
    <w:rsid w:val="00A73988"/>
    <w:rsid w:val="00A74602"/>
    <w:rsid w:val="00A74C92"/>
    <w:rsid w:val="00A765EA"/>
    <w:rsid w:val="00A776F7"/>
    <w:rsid w:val="00A8015D"/>
    <w:rsid w:val="00A816CA"/>
    <w:rsid w:val="00A8334A"/>
    <w:rsid w:val="00A846CB"/>
    <w:rsid w:val="00A855C8"/>
    <w:rsid w:val="00A87AF4"/>
    <w:rsid w:val="00A96E20"/>
    <w:rsid w:val="00AA0F31"/>
    <w:rsid w:val="00AA15E3"/>
    <w:rsid w:val="00AA1F66"/>
    <w:rsid w:val="00AA24EB"/>
    <w:rsid w:val="00AA2CB5"/>
    <w:rsid w:val="00AA2F63"/>
    <w:rsid w:val="00AA55B2"/>
    <w:rsid w:val="00AA55D1"/>
    <w:rsid w:val="00AA56A6"/>
    <w:rsid w:val="00AA70AA"/>
    <w:rsid w:val="00AA7244"/>
    <w:rsid w:val="00AB207C"/>
    <w:rsid w:val="00AB3ADD"/>
    <w:rsid w:val="00AB3D51"/>
    <w:rsid w:val="00AB4271"/>
    <w:rsid w:val="00AB62B7"/>
    <w:rsid w:val="00AB7412"/>
    <w:rsid w:val="00AC06FC"/>
    <w:rsid w:val="00AC392C"/>
    <w:rsid w:val="00AC3A50"/>
    <w:rsid w:val="00AC5BE2"/>
    <w:rsid w:val="00AC5F4B"/>
    <w:rsid w:val="00AD094F"/>
    <w:rsid w:val="00AD0EEB"/>
    <w:rsid w:val="00AD3763"/>
    <w:rsid w:val="00AD38EF"/>
    <w:rsid w:val="00AD5E68"/>
    <w:rsid w:val="00AD6174"/>
    <w:rsid w:val="00AE0136"/>
    <w:rsid w:val="00AE0ED3"/>
    <w:rsid w:val="00AE1A26"/>
    <w:rsid w:val="00AE4B35"/>
    <w:rsid w:val="00AE60B5"/>
    <w:rsid w:val="00AE71A1"/>
    <w:rsid w:val="00AF1E9B"/>
    <w:rsid w:val="00AF34D6"/>
    <w:rsid w:val="00AF38FD"/>
    <w:rsid w:val="00AF3FAC"/>
    <w:rsid w:val="00AF4EEA"/>
    <w:rsid w:val="00AF6301"/>
    <w:rsid w:val="00B016A8"/>
    <w:rsid w:val="00B01C47"/>
    <w:rsid w:val="00B02181"/>
    <w:rsid w:val="00B03162"/>
    <w:rsid w:val="00B03BFA"/>
    <w:rsid w:val="00B0589A"/>
    <w:rsid w:val="00B0655A"/>
    <w:rsid w:val="00B06DF2"/>
    <w:rsid w:val="00B10680"/>
    <w:rsid w:val="00B11F0D"/>
    <w:rsid w:val="00B139C0"/>
    <w:rsid w:val="00B151E7"/>
    <w:rsid w:val="00B15904"/>
    <w:rsid w:val="00B160F9"/>
    <w:rsid w:val="00B1712F"/>
    <w:rsid w:val="00B1713A"/>
    <w:rsid w:val="00B1799B"/>
    <w:rsid w:val="00B21AD1"/>
    <w:rsid w:val="00B21E85"/>
    <w:rsid w:val="00B22C5D"/>
    <w:rsid w:val="00B304EE"/>
    <w:rsid w:val="00B30AC7"/>
    <w:rsid w:val="00B32943"/>
    <w:rsid w:val="00B33638"/>
    <w:rsid w:val="00B34124"/>
    <w:rsid w:val="00B34240"/>
    <w:rsid w:val="00B354E0"/>
    <w:rsid w:val="00B362F8"/>
    <w:rsid w:val="00B36717"/>
    <w:rsid w:val="00B36B4E"/>
    <w:rsid w:val="00B41A8D"/>
    <w:rsid w:val="00B43892"/>
    <w:rsid w:val="00B444BD"/>
    <w:rsid w:val="00B455A4"/>
    <w:rsid w:val="00B460FC"/>
    <w:rsid w:val="00B46256"/>
    <w:rsid w:val="00B55C27"/>
    <w:rsid w:val="00B55F81"/>
    <w:rsid w:val="00B60ADF"/>
    <w:rsid w:val="00B61B42"/>
    <w:rsid w:val="00B62981"/>
    <w:rsid w:val="00B64B9C"/>
    <w:rsid w:val="00B64F5D"/>
    <w:rsid w:val="00B66880"/>
    <w:rsid w:val="00B67F7E"/>
    <w:rsid w:val="00B70A88"/>
    <w:rsid w:val="00B73024"/>
    <w:rsid w:val="00B74EEA"/>
    <w:rsid w:val="00B755E9"/>
    <w:rsid w:val="00B76B7B"/>
    <w:rsid w:val="00B775BA"/>
    <w:rsid w:val="00B81190"/>
    <w:rsid w:val="00B81C81"/>
    <w:rsid w:val="00B84411"/>
    <w:rsid w:val="00B863C1"/>
    <w:rsid w:val="00B874B5"/>
    <w:rsid w:val="00B91937"/>
    <w:rsid w:val="00B91FE1"/>
    <w:rsid w:val="00B92432"/>
    <w:rsid w:val="00B935D9"/>
    <w:rsid w:val="00B93E75"/>
    <w:rsid w:val="00B945A7"/>
    <w:rsid w:val="00B94AE4"/>
    <w:rsid w:val="00B95F46"/>
    <w:rsid w:val="00B96D0D"/>
    <w:rsid w:val="00B96D5B"/>
    <w:rsid w:val="00BA017D"/>
    <w:rsid w:val="00BA09F6"/>
    <w:rsid w:val="00BA13A4"/>
    <w:rsid w:val="00BA1EB5"/>
    <w:rsid w:val="00BA2A91"/>
    <w:rsid w:val="00BA45AA"/>
    <w:rsid w:val="00BA4FFB"/>
    <w:rsid w:val="00BA7EBA"/>
    <w:rsid w:val="00BB0FF8"/>
    <w:rsid w:val="00BB2527"/>
    <w:rsid w:val="00BB335D"/>
    <w:rsid w:val="00BB44C0"/>
    <w:rsid w:val="00BB5FD0"/>
    <w:rsid w:val="00BB6021"/>
    <w:rsid w:val="00BB6E74"/>
    <w:rsid w:val="00BC245E"/>
    <w:rsid w:val="00BC5A32"/>
    <w:rsid w:val="00BC651A"/>
    <w:rsid w:val="00BC6EF2"/>
    <w:rsid w:val="00BC7BAA"/>
    <w:rsid w:val="00BD17F5"/>
    <w:rsid w:val="00BD2AF1"/>
    <w:rsid w:val="00BD2BB8"/>
    <w:rsid w:val="00BD2CC5"/>
    <w:rsid w:val="00BD47CA"/>
    <w:rsid w:val="00BD4FC7"/>
    <w:rsid w:val="00BD688A"/>
    <w:rsid w:val="00BD6C48"/>
    <w:rsid w:val="00BE0970"/>
    <w:rsid w:val="00BE15B1"/>
    <w:rsid w:val="00BE2C02"/>
    <w:rsid w:val="00BE3CFC"/>
    <w:rsid w:val="00BE3E75"/>
    <w:rsid w:val="00BE5E09"/>
    <w:rsid w:val="00BE65B4"/>
    <w:rsid w:val="00BE6C6D"/>
    <w:rsid w:val="00BF0F1A"/>
    <w:rsid w:val="00BF15A6"/>
    <w:rsid w:val="00BF16B6"/>
    <w:rsid w:val="00BF1E13"/>
    <w:rsid w:val="00BF228A"/>
    <w:rsid w:val="00BF28BC"/>
    <w:rsid w:val="00BF3603"/>
    <w:rsid w:val="00BF4010"/>
    <w:rsid w:val="00BF4A6E"/>
    <w:rsid w:val="00BF760F"/>
    <w:rsid w:val="00C003EA"/>
    <w:rsid w:val="00C01264"/>
    <w:rsid w:val="00C0451E"/>
    <w:rsid w:val="00C05F15"/>
    <w:rsid w:val="00C070C0"/>
    <w:rsid w:val="00C073CE"/>
    <w:rsid w:val="00C10B45"/>
    <w:rsid w:val="00C11B55"/>
    <w:rsid w:val="00C12758"/>
    <w:rsid w:val="00C13013"/>
    <w:rsid w:val="00C1396F"/>
    <w:rsid w:val="00C14619"/>
    <w:rsid w:val="00C15F2D"/>
    <w:rsid w:val="00C21B5A"/>
    <w:rsid w:val="00C2296F"/>
    <w:rsid w:val="00C23549"/>
    <w:rsid w:val="00C240D8"/>
    <w:rsid w:val="00C257C7"/>
    <w:rsid w:val="00C302F5"/>
    <w:rsid w:val="00C31ECF"/>
    <w:rsid w:val="00C35BF4"/>
    <w:rsid w:val="00C365FB"/>
    <w:rsid w:val="00C36EC9"/>
    <w:rsid w:val="00C36FE3"/>
    <w:rsid w:val="00C41127"/>
    <w:rsid w:val="00C417FB"/>
    <w:rsid w:val="00C41BAD"/>
    <w:rsid w:val="00C427C6"/>
    <w:rsid w:val="00C45032"/>
    <w:rsid w:val="00C4506C"/>
    <w:rsid w:val="00C45E2E"/>
    <w:rsid w:val="00C468CC"/>
    <w:rsid w:val="00C47918"/>
    <w:rsid w:val="00C47B38"/>
    <w:rsid w:val="00C51059"/>
    <w:rsid w:val="00C51E2E"/>
    <w:rsid w:val="00C520EE"/>
    <w:rsid w:val="00C524E5"/>
    <w:rsid w:val="00C56925"/>
    <w:rsid w:val="00C56A71"/>
    <w:rsid w:val="00C62667"/>
    <w:rsid w:val="00C67550"/>
    <w:rsid w:val="00C6797E"/>
    <w:rsid w:val="00C709BC"/>
    <w:rsid w:val="00C722B3"/>
    <w:rsid w:val="00C72904"/>
    <w:rsid w:val="00C745B8"/>
    <w:rsid w:val="00C75357"/>
    <w:rsid w:val="00C77391"/>
    <w:rsid w:val="00C80B2D"/>
    <w:rsid w:val="00C80B3A"/>
    <w:rsid w:val="00C80F51"/>
    <w:rsid w:val="00C833FE"/>
    <w:rsid w:val="00C8457A"/>
    <w:rsid w:val="00C864D9"/>
    <w:rsid w:val="00C876AB"/>
    <w:rsid w:val="00C879C5"/>
    <w:rsid w:val="00C9029D"/>
    <w:rsid w:val="00C9044A"/>
    <w:rsid w:val="00C91828"/>
    <w:rsid w:val="00C929F2"/>
    <w:rsid w:val="00C9393F"/>
    <w:rsid w:val="00C93D7B"/>
    <w:rsid w:val="00C95C56"/>
    <w:rsid w:val="00CA0F69"/>
    <w:rsid w:val="00CA1AB1"/>
    <w:rsid w:val="00CA5714"/>
    <w:rsid w:val="00CA698B"/>
    <w:rsid w:val="00CA7577"/>
    <w:rsid w:val="00CB08FC"/>
    <w:rsid w:val="00CB45BD"/>
    <w:rsid w:val="00CB56B7"/>
    <w:rsid w:val="00CC07FF"/>
    <w:rsid w:val="00CC0801"/>
    <w:rsid w:val="00CC147C"/>
    <w:rsid w:val="00CC243F"/>
    <w:rsid w:val="00CC4557"/>
    <w:rsid w:val="00CC4DA0"/>
    <w:rsid w:val="00CC66A6"/>
    <w:rsid w:val="00CD2091"/>
    <w:rsid w:val="00CD372A"/>
    <w:rsid w:val="00CD512C"/>
    <w:rsid w:val="00CD54FF"/>
    <w:rsid w:val="00CD5E0C"/>
    <w:rsid w:val="00CE03B6"/>
    <w:rsid w:val="00CE1697"/>
    <w:rsid w:val="00CE1A37"/>
    <w:rsid w:val="00CE55A5"/>
    <w:rsid w:val="00CE75E2"/>
    <w:rsid w:val="00CF201A"/>
    <w:rsid w:val="00CF23A0"/>
    <w:rsid w:val="00CF2B3E"/>
    <w:rsid w:val="00CF43B0"/>
    <w:rsid w:val="00CF4841"/>
    <w:rsid w:val="00CF5027"/>
    <w:rsid w:val="00D00601"/>
    <w:rsid w:val="00D00ADB"/>
    <w:rsid w:val="00D0274C"/>
    <w:rsid w:val="00D03B63"/>
    <w:rsid w:val="00D040F5"/>
    <w:rsid w:val="00D04A22"/>
    <w:rsid w:val="00D055D9"/>
    <w:rsid w:val="00D078B2"/>
    <w:rsid w:val="00D12A1D"/>
    <w:rsid w:val="00D1331C"/>
    <w:rsid w:val="00D13339"/>
    <w:rsid w:val="00D14D02"/>
    <w:rsid w:val="00D178DE"/>
    <w:rsid w:val="00D17D72"/>
    <w:rsid w:val="00D22350"/>
    <w:rsid w:val="00D223DF"/>
    <w:rsid w:val="00D275A1"/>
    <w:rsid w:val="00D33295"/>
    <w:rsid w:val="00D334DD"/>
    <w:rsid w:val="00D33EBE"/>
    <w:rsid w:val="00D403FB"/>
    <w:rsid w:val="00D412E5"/>
    <w:rsid w:val="00D425D1"/>
    <w:rsid w:val="00D435AC"/>
    <w:rsid w:val="00D45289"/>
    <w:rsid w:val="00D45A17"/>
    <w:rsid w:val="00D45D01"/>
    <w:rsid w:val="00D466B5"/>
    <w:rsid w:val="00D5006B"/>
    <w:rsid w:val="00D502CC"/>
    <w:rsid w:val="00D50F0F"/>
    <w:rsid w:val="00D545FB"/>
    <w:rsid w:val="00D559E9"/>
    <w:rsid w:val="00D55FEC"/>
    <w:rsid w:val="00D5617F"/>
    <w:rsid w:val="00D662FA"/>
    <w:rsid w:val="00D66C9C"/>
    <w:rsid w:val="00D670F0"/>
    <w:rsid w:val="00D67A6A"/>
    <w:rsid w:val="00D70A3B"/>
    <w:rsid w:val="00D722FC"/>
    <w:rsid w:val="00D72511"/>
    <w:rsid w:val="00D7271B"/>
    <w:rsid w:val="00D73101"/>
    <w:rsid w:val="00D73D0C"/>
    <w:rsid w:val="00D75C08"/>
    <w:rsid w:val="00D767B4"/>
    <w:rsid w:val="00D768C6"/>
    <w:rsid w:val="00D806B2"/>
    <w:rsid w:val="00D81019"/>
    <w:rsid w:val="00D81BD3"/>
    <w:rsid w:val="00D82CD6"/>
    <w:rsid w:val="00D85640"/>
    <w:rsid w:val="00D87BDA"/>
    <w:rsid w:val="00D87DEE"/>
    <w:rsid w:val="00D90381"/>
    <w:rsid w:val="00D92252"/>
    <w:rsid w:val="00D92C63"/>
    <w:rsid w:val="00D93B37"/>
    <w:rsid w:val="00D93B38"/>
    <w:rsid w:val="00D94DEB"/>
    <w:rsid w:val="00D961C2"/>
    <w:rsid w:val="00D9769D"/>
    <w:rsid w:val="00DA29BF"/>
    <w:rsid w:val="00DA5728"/>
    <w:rsid w:val="00DA6A7B"/>
    <w:rsid w:val="00DA7C9C"/>
    <w:rsid w:val="00DB1C0E"/>
    <w:rsid w:val="00DB1D60"/>
    <w:rsid w:val="00DB2ED4"/>
    <w:rsid w:val="00DB4FFB"/>
    <w:rsid w:val="00DB6F32"/>
    <w:rsid w:val="00DC00AE"/>
    <w:rsid w:val="00DC137D"/>
    <w:rsid w:val="00DC199C"/>
    <w:rsid w:val="00DC46CB"/>
    <w:rsid w:val="00DC66A9"/>
    <w:rsid w:val="00DC7E5D"/>
    <w:rsid w:val="00DD0459"/>
    <w:rsid w:val="00DD046A"/>
    <w:rsid w:val="00DD3059"/>
    <w:rsid w:val="00DD32A6"/>
    <w:rsid w:val="00DD37CA"/>
    <w:rsid w:val="00DD3C82"/>
    <w:rsid w:val="00DD6989"/>
    <w:rsid w:val="00DD7562"/>
    <w:rsid w:val="00DD79A9"/>
    <w:rsid w:val="00DE145E"/>
    <w:rsid w:val="00DE300F"/>
    <w:rsid w:val="00DE301C"/>
    <w:rsid w:val="00DE4D7A"/>
    <w:rsid w:val="00DE5774"/>
    <w:rsid w:val="00DF25B5"/>
    <w:rsid w:val="00DF26B0"/>
    <w:rsid w:val="00DF2A63"/>
    <w:rsid w:val="00DF4B15"/>
    <w:rsid w:val="00DF70B4"/>
    <w:rsid w:val="00E011D9"/>
    <w:rsid w:val="00E03D9C"/>
    <w:rsid w:val="00E07588"/>
    <w:rsid w:val="00E15B1E"/>
    <w:rsid w:val="00E16240"/>
    <w:rsid w:val="00E16B7D"/>
    <w:rsid w:val="00E16E0A"/>
    <w:rsid w:val="00E17104"/>
    <w:rsid w:val="00E213E7"/>
    <w:rsid w:val="00E21BDA"/>
    <w:rsid w:val="00E2286A"/>
    <w:rsid w:val="00E22938"/>
    <w:rsid w:val="00E23545"/>
    <w:rsid w:val="00E25EFE"/>
    <w:rsid w:val="00E26D22"/>
    <w:rsid w:val="00E2783D"/>
    <w:rsid w:val="00E27D8F"/>
    <w:rsid w:val="00E27FB7"/>
    <w:rsid w:val="00E30EC9"/>
    <w:rsid w:val="00E34C18"/>
    <w:rsid w:val="00E34E08"/>
    <w:rsid w:val="00E34F25"/>
    <w:rsid w:val="00E3738C"/>
    <w:rsid w:val="00E4089C"/>
    <w:rsid w:val="00E41B2A"/>
    <w:rsid w:val="00E42168"/>
    <w:rsid w:val="00E431DD"/>
    <w:rsid w:val="00E4394D"/>
    <w:rsid w:val="00E467FB"/>
    <w:rsid w:val="00E4698F"/>
    <w:rsid w:val="00E4714B"/>
    <w:rsid w:val="00E527E5"/>
    <w:rsid w:val="00E54222"/>
    <w:rsid w:val="00E542C4"/>
    <w:rsid w:val="00E556EA"/>
    <w:rsid w:val="00E55C3F"/>
    <w:rsid w:val="00E61785"/>
    <w:rsid w:val="00E62523"/>
    <w:rsid w:val="00E64B15"/>
    <w:rsid w:val="00E65054"/>
    <w:rsid w:val="00E66C41"/>
    <w:rsid w:val="00E6717B"/>
    <w:rsid w:val="00E704D7"/>
    <w:rsid w:val="00E72EAB"/>
    <w:rsid w:val="00E74DB5"/>
    <w:rsid w:val="00E76075"/>
    <w:rsid w:val="00E776A0"/>
    <w:rsid w:val="00E77919"/>
    <w:rsid w:val="00E77EF6"/>
    <w:rsid w:val="00E8034D"/>
    <w:rsid w:val="00E80538"/>
    <w:rsid w:val="00E81AC3"/>
    <w:rsid w:val="00E81FB9"/>
    <w:rsid w:val="00E82499"/>
    <w:rsid w:val="00E8410F"/>
    <w:rsid w:val="00E85337"/>
    <w:rsid w:val="00E8560F"/>
    <w:rsid w:val="00E87795"/>
    <w:rsid w:val="00E9020B"/>
    <w:rsid w:val="00E9067D"/>
    <w:rsid w:val="00E9105E"/>
    <w:rsid w:val="00E926C8"/>
    <w:rsid w:val="00E94536"/>
    <w:rsid w:val="00E9488F"/>
    <w:rsid w:val="00E9639F"/>
    <w:rsid w:val="00E976AC"/>
    <w:rsid w:val="00EA5895"/>
    <w:rsid w:val="00EB1A96"/>
    <w:rsid w:val="00EB7923"/>
    <w:rsid w:val="00EC067D"/>
    <w:rsid w:val="00EC4B0E"/>
    <w:rsid w:val="00EC4B48"/>
    <w:rsid w:val="00EC6955"/>
    <w:rsid w:val="00EC6B7A"/>
    <w:rsid w:val="00EC6B89"/>
    <w:rsid w:val="00EC6E46"/>
    <w:rsid w:val="00ED0DC4"/>
    <w:rsid w:val="00ED1169"/>
    <w:rsid w:val="00ED225D"/>
    <w:rsid w:val="00ED3DB5"/>
    <w:rsid w:val="00ED5810"/>
    <w:rsid w:val="00ED5978"/>
    <w:rsid w:val="00ED689D"/>
    <w:rsid w:val="00EE0BDA"/>
    <w:rsid w:val="00EE11BC"/>
    <w:rsid w:val="00EE1E97"/>
    <w:rsid w:val="00EE3265"/>
    <w:rsid w:val="00EE48C8"/>
    <w:rsid w:val="00EE4CB7"/>
    <w:rsid w:val="00EF2403"/>
    <w:rsid w:val="00EF4645"/>
    <w:rsid w:val="00EF7803"/>
    <w:rsid w:val="00F0147C"/>
    <w:rsid w:val="00F02F6E"/>
    <w:rsid w:val="00F03840"/>
    <w:rsid w:val="00F05129"/>
    <w:rsid w:val="00F0576C"/>
    <w:rsid w:val="00F06EE2"/>
    <w:rsid w:val="00F11145"/>
    <w:rsid w:val="00F11DC3"/>
    <w:rsid w:val="00F11DD9"/>
    <w:rsid w:val="00F14365"/>
    <w:rsid w:val="00F149AC"/>
    <w:rsid w:val="00F20643"/>
    <w:rsid w:val="00F21818"/>
    <w:rsid w:val="00F243DC"/>
    <w:rsid w:val="00F244E3"/>
    <w:rsid w:val="00F25A32"/>
    <w:rsid w:val="00F26DC0"/>
    <w:rsid w:val="00F31FD1"/>
    <w:rsid w:val="00F336FD"/>
    <w:rsid w:val="00F33919"/>
    <w:rsid w:val="00F3398F"/>
    <w:rsid w:val="00F3544E"/>
    <w:rsid w:val="00F359A8"/>
    <w:rsid w:val="00F37E63"/>
    <w:rsid w:val="00F4025D"/>
    <w:rsid w:val="00F41551"/>
    <w:rsid w:val="00F42D31"/>
    <w:rsid w:val="00F42E8D"/>
    <w:rsid w:val="00F43224"/>
    <w:rsid w:val="00F43233"/>
    <w:rsid w:val="00F43D5D"/>
    <w:rsid w:val="00F45470"/>
    <w:rsid w:val="00F513AB"/>
    <w:rsid w:val="00F52093"/>
    <w:rsid w:val="00F53F25"/>
    <w:rsid w:val="00F55021"/>
    <w:rsid w:val="00F55842"/>
    <w:rsid w:val="00F56435"/>
    <w:rsid w:val="00F60FE2"/>
    <w:rsid w:val="00F61164"/>
    <w:rsid w:val="00F61454"/>
    <w:rsid w:val="00F630FD"/>
    <w:rsid w:val="00F6370F"/>
    <w:rsid w:val="00F65C2C"/>
    <w:rsid w:val="00F663C1"/>
    <w:rsid w:val="00F66736"/>
    <w:rsid w:val="00F6735A"/>
    <w:rsid w:val="00F67FAF"/>
    <w:rsid w:val="00F710CF"/>
    <w:rsid w:val="00F71660"/>
    <w:rsid w:val="00F7399C"/>
    <w:rsid w:val="00F74C11"/>
    <w:rsid w:val="00F75F54"/>
    <w:rsid w:val="00F76E7E"/>
    <w:rsid w:val="00F80238"/>
    <w:rsid w:val="00F82BA7"/>
    <w:rsid w:val="00F8307A"/>
    <w:rsid w:val="00F8421D"/>
    <w:rsid w:val="00F860D9"/>
    <w:rsid w:val="00F8613B"/>
    <w:rsid w:val="00F95DF5"/>
    <w:rsid w:val="00FA18ED"/>
    <w:rsid w:val="00FA30AB"/>
    <w:rsid w:val="00FA3292"/>
    <w:rsid w:val="00FA793B"/>
    <w:rsid w:val="00FB09BD"/>
    <w:rsid w:val="00FB0FAB"/>
    <w:rsid w:val="00FB192C"/>
    <w:rsid w:val="00FB2A64"/>
    <w:rsid w:val="00FB32CE"/>
    <w:rsid w:val="00FB607B"/>
    <w:rsid w:val="00FB7118"/>
    <w:rsid w:val="00FC33BF"/>
    <w:rsid w:val="00FC55A3"/>
    <w:rsid w:val="00FC60F8"/>
    <w:rsid w:val="00FC6911"/>
    <w:rsid w:val="00FC6DD5"/>
    <w:rsid w:val="00FD33A0"/>
    <w:rsid w:val="00FD39E2"/>
    <w:rsid w:val="00FD3E1E"/>
    <w:rsid w:val="00FD5448"/>
    <w:rsid w:val="00FE0E7F"/>
    <w:rsid w:val="00FE18E9"/>
    <w:rsid w:val="00FE28F3"/>
    <w:rsid w:val="00FE2ACC"/>
    <w:rsid w:val="00FE7B1C"/>
    <w:rsid w:val="00FE7F67"/>
    <w:rsid w:val="00FF0D89"/>
    <w:rsid w:val="00FF2733"/>
    <w:rsid w:val="00FF2D06"/>
    <w:rsid w:val="00FF3458"/>
    <w:rsid w:val="00FF479C"/>
    <w:rsid w:val="00FF6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5E2680"/>
  <w15:chartTrackingRefBased/>
  <w15:docId w15:val="{2CF4199F-E2CD-42FD-8EB8-FCF4AD6D5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BF4A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BF4A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BF4A6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F4A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F4A6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BF4A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BF4A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BF4A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BF4A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BF4A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rsid w:val="00BF4A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rsid w:val="00BF4A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BF4A6E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BF4A6E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BF4A6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BF4A6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BF4A6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BF4A6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BF4A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BF4A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BF4A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BF4A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BF4A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BF4A6E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BF4A6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BF4A6E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BF4A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BF4A6E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BF4A6E"/>
    <w:rPr>
      <w:b/>
      <w:bCs/>
      <w:smallCaps/>
      <w:color w:val="0F4761" w:themeColor="accent1" w:themeShade="BF"/>
      <w:spacing w:val="5"/>
    </w:rPr>
  </w:style>
  <w:style w:type="paragraph" w:styleId="Normlnweb">
    <w:name w:val="Normal (Web)"/>
    <w:basedOn w:val="Normln"/>
    <w:uiPriority w:val="99"/>
    <w:semiHidden/>
    <w:unhideWhenUsed/>
    <w:rsid w:val="0023205C"/>
    <w:rPr>
      <w:rFonts w:ascii="Times New Roman" w:hAnsi="Times New Roman" w:cs="Times New Roman"/>
      <w:sz w:val="24"/>
      <w:szCs w:val="24"/>
    </w:rPr>
  </w:style>
  <w:style w:type="character" w:styleId="Siln">
    <w:name w:val="Strong"/>
    <w:basedOn w:val="Standardnpsmoodstavce"/>
    <w:uiPriority w:val="22"/>
    <w:qFormat/>
    <w:rsid w:val="00217AF1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B96D5B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B96D5B"/>
    <w:rPr>
      <w:color w:val="605E5C"/>
      <w:shd w:val="clear" w:color="auto" w:fill="E1DFDD"/>
    </w:rPr>
  </w:style>
  <w:style w:type="paragraph" w:styleId="Nadpisobsahu">
    <w:name w:val="TOC Heading"/>
    <w:basedOn w:val="Nadpis1"/>
    <w:next w:val="Normln"/>
    <w:uiPriority w:val="39"/>
    <w:unhideWhenUsed/>
    <w:qFormat/>
    <w:rsid w:val="002F168C"/>
    <w:pPr>
      <w:spacing w:before="240" w:after="0"/>
      <w:outlineLvl w:val="9"/>
    </w:pPr>
    <w:rPr>
      <w:kern w:val="0"/>
      <w:sz w:val="32"/>
      <w:szCs w:val="32"/>
      <w:lang w:eastAsia="cs-CZ"/>
      <w14:ligatures w14:val="none"/>
    </w:rPr>
  </w:style>
  <w:style w:type="paragraph" w:styleId="Obsah1">
    <w:name w:val="toc 1"/>
    <w:basedOn w:val="Normln"/>
    <w:next w:val="Normln"/>
    <w:autoRedefine/>
    <w:uiPriority w:val="39"/>
    <w:unhideWhenUsed/>
    <w:rsid w:val="00365237"/>
    <w:pPr>
      <w:tabs>
        <w:tab w:val="left" w:pos="440"/>
        <w:tab w:val="right" w:leader="dot" w:pos="9062"/>
      </w:tabs>
      <w:spacing w:after="100"/>
    </w:pPr>
  </w:style>
  <w:style w:type="paragraph" w:styleId="Obsah2">
    <w:name w:val="toc 2"/>
    <w:basedOn w:val="Normln"/>
    <w:next w:val="Normln"/>
    <w:autoRedefine/>
    <w:uiPriority w:val="39"/>
    <w:unhideWhenUsed/>
    <w:rsid w:val="00404945"/>
    <w:pPr>
      <w:tabs>
        <w:tab w:val="left" w:pos="426"/>
        <w:tab w:val="right" w:leader="dot" w:pos="9062"/>
      </w:tabs>
      <w:spacing w:after="100"/>
    </w:pPr>
  </w:style>
  <w:style w:type="paragraph" w:styleId="Obsah3">
    <w:name w:val="toc 3"/>
    <w:basedOn w:val="Normln"/>
    <w:next w:val="Normln"/>
    <w:autoRedefine/>
    <w:uiPriority w:val="39"/>
    <w:unhideWhenUsed/>
    <w:rsid w:val="002F168C"/>
    <w:pPr>
      <w:spacing w:after="100"/>
      <w:ind w:left="440"/>
    </w:pPr>
  </w:style>
  <w:style w:type="paragraph" w:styleId="Zpat">
    <w:name w:val="footer"/>
    <w:basedOn w:val="Normln"/>
    <w:link w:val="ZpatChar"/>
    <w:uiPriority w:val="99"/>
    <w:unhideWhenUsed/>
    <w:rsid w:val="002F16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F168C"/>
  </w:style>
  <w:style w:type="paragraph" w:styleId="Zhlav">
    <w:name w:val="header"/>
    <w:basedOn w:val="Normln"/>
    <w:link w:val="ZhlavChar"/>
    <w:uiPriority w:val="99"/>
    <w:unhideWhenUsed/>
    <w:rsid w:val="00252F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52FFC"/>
  </w:style>
  <w:style w:type="paragraph" w:styleId="Bezmezer">
    <w:name w:val="No Spacing"/>
    <w:link w:val="BezmezerChar"/>
    <w:uiPriority w:val="1"/>
    <w:qFormat/>
    <w:rsid w:val="000C46E6"/>
    <w:pPr>
      <w:spacing w:after="0" w:line="240" w:lineRule="auto"/>
    </w:pPr>
    <w:rPr>
      <w:rFonts w:eastAsiaTheme="minorEastAsia"/>
      <w:kern w:val="0"/>
      <w:lang w:eastAsia="cs-CZ"/>
      <w14:ligatures w14:val="none"/>
    </w:rPr>
  </w:style>
  <w:style w:type="character" w:customStyle="1" w:styleId="BezmezerChar">
    <w:name w:val="Bez mezer Char"/>
    <w:basedOn w:val="Standardnpsmoodstavce"/>
    <w:link w:val="Bezmezer"/>
    <w:uiPriority w:val="1"/>
    <w:rsid w:val="000C46E6"/>
    <w:rPr>
      <w:rFonts w:eastAsiaTheme="minorEastAsia"/>
      <w:kern w:val="0"/>
      <w:lang w:eastAsia="cs-CZ"/>
      <w14:ligatures w14:val="none"/>
    </w:rPr>
  </w:style>
  <w:style w:type="paragraph" w:customStyle="1" w:styleId="Smartnadpis3">
    <w:name w:val="Smart nadpis 3"/>
    <w:basedOn w:val="Normln"/>
    <w:qFormat/>
    <w:rsid w:val="000C46E6"/>
    <w:pPr>
      <w:spacing w:after="0" w:line="276" w:lineRule="auto"/>
    </w:pPr>
    <w:rPr>
      <w:rFonts w:ascii="Cambria" w:eastAsia="Times New Roman" w:hAnsi="Cambria" w:cs="Times New Roman"/>
      <w:b/>
      <w:color w:val="00365F"/>
      <w:kern w:val="0"/>
      <w:sz w:val="21"/>
      <w:szCs w:val="20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0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5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06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2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9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3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6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7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4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55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8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3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51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6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1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2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1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6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63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8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76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86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0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76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emf"/><Relationship Id="rId18" Type="http://schemas.openxmlformats.org/officeDocument/2006/relationships/chart" Target="charts/chart3.xml"/><Relationship Id="rId26" Type="http://schemas.openxmlformats.org/officeDocument/2006/relationships/image" Target="media/image6.png"/><Relationship Id="rId3" Type="http://schemas.openxmlformats.org/officeDocument/2006/relationships/customXml" Target="../customXml/item3.xml"/><Relationship Id="rId21" Type="http://schemas.openxmlformats.org/officeDocument/2006/relationships/chart" Target="charts/chart6.xml"/><Relationship Id="rId34" Type="http://schemas.openxmlformats.org/officeDocument/2006/relationships/hyperlink" Target="https://www.dnb.com/cs-cz/produkty/dnb-hoovers.html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chart" Target="charts/chart2.xml"/><Relationship Id="rId25" Type="http://schemas.openxmlformats.org/officeDocument/2006/relationships/image" Target="media/image5.png"/><Relationship Id="rId33" Type="http://schemas.openxmlformats.org/officeDocument/2006/relationships/hyperlink" Target="https://csu.gov.cz/poskytovani_udaju_z_res" TargetMode="External"/><Relationship Id="rId2" Type="http://schemas.openxmlformats.org/officeDocument/2006/relationships/customXml" Target="../customXml/item2.xml"/><Relationship Id="rId16" Type="http://schemas.openxmlformats.org/officeDocument/2006/relationships/chart" Target="charts/chart1.xml"/><Relationship Id="rId20" Type="http://schemas.openxmlformats.org/officeDocument/2006/relationships/chart" Target="charts/chart5.xml"/><Relationship Id="rId29" Type="http://schemas.openxmlformats.org/officeDocument/2006/relationships/chart" Target="charts/chart1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24" Type="http://schemas.openxmlformats.org/officeDocument/2006/relationships/footer" Target="footer2.xml"/><Relationship Id="rId32" Type="http://schemas.openxmlformats.org/officeDocument/2006/relationships/chart" Target="charts/chart14.xml"/><Relationship Id="rId5" Type="http://schemas.openxmlformats.org/officeDocument/2006/relationships/numbering" Target="numbering.xml"/><Relationship Id="rId15" Type="http://schemas.openxmlformats.org/officeDocument/2006/relationships/image" Target="media/image4.jpeg"/><Relationship Id="rId23" Type="http://schemas.openxmlformats.org/officeDocument/2006/relationships/chart" Target="charts/chart8.xml"/><Relationship Id="rId28" Type="http://schemas.openxmlformats.org/officeDocument/2006/relationships/chart" Target="charts/chart10.xml"/><Relationship Id="rId36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chart" Target="charts/chart4.xml"/><Relationship Id="rId31" Type="http://schemas.openxmlformats.org/officeDocument/2006/relationships/chart" Target="charts/chart1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Relationship Id="rId22" Type="http://schemas.openxmlformats.org/officeDocument/2006/relationships/chart" Target="charts/chart7.xml"/><Relationship Id="rId27" Type="http://schemas.openxmlformats.org/officeDocument/2006/relationships/chart" Target="charts/chart9.xml"/><Relationship Id="rId30" Type="http://schemas.openxmlformats.org/officeDocument/2006/relationships/chart" Target="charts/chart12.xml"/><Relationship Id="rId35" Type="http://schemas.openxmlformats.org/officeDocument/2006/relationships/fontTable" Target="fontTable.xml"/><Relationship Id="rId8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https://rrapk.sharepoint.com/Sdilene%20dokumenty/Texty/Projekty%20OPVVV/SMART%20AKCELER&#193;TOR%203/REALIZACE/KA4%20Mapov&#225;n&#237;%20anal&#253;za%20a%20evaluace/Hodnotov&#233;&#344;et&#283;zce/Anal&#253;zaFirem/Anal&#253;zaFiremGVC/FirmyGPN241004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https://rrapk.sharepoint.com/Sdilene%20dokumenty/Texty/Projekty%20OPVVV/SMART%20AKCELER&#193;TOR%203/REALIZACE/KA4%20Mapov&#225;n&#237;%20anal&#253;za%20a%20evaluace/Hodnotov&#233;&#344;et&#283;zce/Anal&#253;zaFirem/Anal&#253;zaFiremGVC/FirmyGPN241004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https://rrapk.sharepoint.com/Sdilene%20dokumenty/Texty/Projekty%20OPVVV/SMART%20AKCELER&#193;TOR%203/REALIZACE/KA4%20Mapov&#225;n&#237;%20anal&#253;za%20a%20evaluace/Hodnotov&#233;&#344;et&#283;zce/Anal&#253;zaFirem/Anal&#253;zaFiremGVC/FirmyGPN241004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https://rrapk.sharepoint.com/Sdilene%20dokumenty/Texty/Projekty%20OPVVV/SMART%20AKCELER&#193;TOR%203/REALIZACE/KA4%20Mapov&#225;n&#237;%20anal&#253;za%20a%20evaluace/Hodnotov&#233;&#344;et&#283;zce/Anal&#253;zaFirem/Anal&#253;zaFiremGVC/FirmyGPN241004.xlsx" TargetMode="Externa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https://rrapk.sharepoint.com/Sdilene%20dokumenty/Texty/Projekty%20OPVVV/SMART%20AKCELER&#193;TOR%203/REALIZACE/KA4%20Mapov&#225;n&#237;%20anal&#253;za%20a%20evaluace/Hodnotov&#233;&#344;et&#283;zce/Anal&#253;zaFirem/Anal&#253;zaFiremGVC/FirmyGPN241004.xlsx" TargetMode="External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oleObject" Target="https://rrapk.sharepoint.com/Sdilene%20dokumenty/Texty/Projekty%20OPVVV/SMART%20AKCELER&#193;TOR%203/REALIZACE/KA4%20Mapov&#225;n&#237;%20anal&#253;za%20a%20evaluace/Hodnotov&#233;&#344;et&#283;zce/Anal&#253;zaFirem/Anal&#253;zaFiremGVC/FirmyGPN241004.xlsx" TargetMode="Externa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oleObject" Target="https://rrapk.sharepoint.com/Sdilene%20dokumenty/Texty/Projekty%20OPVVV/SMART%20AKCELER&#193;TOR%203/REALIZACE/KA4%20Mapov&#225;n&#237;%20anal&#253;za%20a%20evaluace/Hodnotov&#233;&#344;et&#283;zce/Anal&#253;zaFirem/Anal&#253;zaFiremGVC/FirmyGPN241004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oleObject" Target="https://rrapk.sharepoint.com/Sdilene%20dokumenty/Texty/Projekty%20OPVVV/SMART%20AKCELER&#193;TOR%203/REALIZACE/KA4%20Mapov&#225;n&#237;%20anal&#253;za%20a%20evaluace/Hodnotov&#233;&#344;et&#283;zce/Anal&#253;zaFirem/Anal&#253;zaFiremGVC/FirmyGPN241004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oleObject" Target="https://rrapk.sharepoint.com/Sdilene%20dokumenty/Texty/Projekty%20OPVVV/SMART%20AKCELER&#193;TOR%203/REALIZACE/KA4%20Mapov&#225;n&#237;%20anal&#253;za%20a%20evaluace/Hodnotov&#233;&#344;et&#283;zce/Anal&#253;zaFirem/Clustery+Ekonomika/Ekonomika-V&#353;echnyClustery-grafy2403189.xlsx" TargetMode="External"/><Relationship Id="rId2" Type="http://schemas.microsoft.com/office/2011/relationships/chartColorStyle" Target="colors3.xml"/><Relationship Id="rId1" Type="http://schemas.microsoft.com/office/2011/relationships/chartStyle" Target="style3.xml"/><Relationship Id="rId4" Type="http://schemas.openxmlformats.org/officeDocument/2006/relationships/chartUserShapes" Target="../drawings/drawing1.xml"/></Relationships>
</file>

<file path=word/charts/_rels/chart10.xml.rels><?xml version="1.0" encoding="UTF-8" standalone="yes"?>
<Relationships xmlns="http://schemas.openxmlformats.org/package/2006/relationships"><Relationship Id="rId3" Type="http://schemas.openxmlformats.org/officeDocument/2006/relationships/oleObject" Target="https://rrapk.sharepoint.com/Sdilene%20dokumenty/Texty/Projekty%20OPVVV/SMART%20AKCELER&#193;TOR%203/REALIZACE/KA4%20Mapov&#225;n&#237;%20anal&#253;za%20a%20evaluace/Hodnotov&#233;&#344;et&#283;zce/Anal&#253;zaFirem/Clustery+Ekonomika/Ekonomika-V&#353;echnyClustery-grafy2403189.xlsx" TargetMode="External"/><Relationship Id="rId2" Type="http://schemas.microsoft.com/office/2011/relationships/chartColorStyle" Target="colors4.xml"/><Relationship Id="rId1" Type="http://schemas.microsoft.com/office/2011/relationships/chartStyle" Target="style4.xml"/><Relationship Id="rId4" Type="http://schemas.openxmlformats.org/officeDocument/2006/relationships/chartUserShapes" Target="../drawings/drawing2.xml"/></Relationships>
</file>

<file path=word/charts/_rels/chart11.xml.rels><?xml version="1.0" encoding="UTF-8" standalone="yes"?>
<Relationships xmlns="http://schemas.openxmlformats.org/package/2006/relationships"><Relationship Id="rId3" Type="http://schemas.openxmlformats.org/officeDocument/2006/relationships/oleObject" Target="https://rrapk.sharepoint.com/Sdilene%20dokumenty/Texty/Projekty%20OPVVV/SMART%20AKCELER&#193;TOR%203/REALIZACE/KA4%20Mapov&#225;n&#237;%20anal&#253;za%20a%20evaluace/Hodnotov&#233;&#344;et&#283;zce/Anal&#253;zaFirem/Clustery+Ekonomika/Ekonomika-V&#353;echnyClustery-grafy241126.xlsx" TargetMode="External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12.xml.rels><?xml version="1.0" encoding="UTF-8" standalone="yes"?>
<Relationships xmlns="http://schemas.openxmlformats.org/package/2006/relationships"><Relationship Id="rId3" Type="http://schemas.openxmlformats.org/officeDocument/2006/relationships/oleObject" Target="https://rrapk.sharepoint.com/Sdilene%20dokumenty/Texty/Projekty%20OPVVV/SMART%20AKCELER&#193;TOR%203/REALIZACE/KA4%20Mapov&#225;n&#237;%20anal&#253;za%20a%20evaluace/Hodnotov&#233;&#344;et&#283;zce/Anal&#253;zaFirem/Clustery+Ekonomika/Ekonomika-V&#353;echnyClustery-grafy241126.xlsx" TargetMode="External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_rels/chart13.xml.rels><?xml version="1.0" encoding="UTF-8" standalone="yes"?>
<Relationships xmlns="http://schemas.openxmlformats.org/package/2006/relationships"><Relationship Id="rId3" Type="http://schemas.openxmlformats.org/officeDocument/2006/relationships/oleObject" Target="https://rrapk.sharepoint.com/Sdilene%20dokumenty/Texty/Projekty%20OPVVV/SMART%20AKCELER&#193;TOR%203/REALIZACE/KA4%20Mapov&#225;n&#237;%20anal&#253;za%20a%20evaluace/Hodnotov&#233;&#344;et&#283;zce/Anal&#253;zaFirem/Clustery+Ekonomika/Ekonomika-V&#353;echnyClustery-grafy241126.xlsx" TargetMode="External"/><Relationship Id="rId2" Type="http://schemas.microsoft.com/office/2011/relationships/chartColorStyle" Target="colors7.xml"/><Relationship Id="rId1" Type="http://schemas.microsoft.com/office/2011/relationships/chartStyle" Target="style7.xml"/></Relationships>
</file>

<file path=word/charts/_rels/chart14.xml.rels><?xml version="1.0" encoding="UTF-8" standalone="yes"?>
<Relationships xmlns="http://schemas.openxmlformats.org/package/2006/relationships"><Relationship Id="rId3" Type="http://schemas.openxmlformats.org/officeDocument/2006/relationships/oleObject" Target="https://rrapk.sharepoint.com/Sdilene%20dokumenty/Texty/Projekty%20OPVVV/SMART%20AKCELER&#193;TOR%203/REALIZACE/KA4%20Mapov&#225;n&#237;%20anal&#253;za%20a%20evaluace/Hodnotov&#233;&#344;et&#283;zce/Anal&#253;zaFirem/Clustery+Ekonomika/Ekonomika-V&#353;echnyClustery-grafy241126.xlsx" TargetMode="External"/><Relationship Id="rId2" Type="http://schemas.microsoft.com/office/2011/relationships/chartColorStyle" Target="colors8.xml"/><Relationship Id="rId1" Type="http://schemas.microsoft.com/office/2011/relationships/chartStyle" Target="style8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/>
          <a:lstStyle/>
          <a:p>
            <a:pPr>
              <a:defRPr lang="en-US" sz="1050" b="1" strike="noStrike" spc="-1">
                <a:solidFill>
                  <a:srgbClr val="000000"/>
                </a:solidFill>
                <a:latin typeface="Arial"/>
              </a:defRPr>
            </a:pPr>
            <a:r>
              <a:rPr lang="cs-CZ" sz="1050" b="1" strike="noStrike" spc="-1">
                <a:solidFill>
                  <a:srgbClr val="000000"/>
                </a:solidFill>
                <a:latin typeface="Arial"/>
              </a:rPr>
              <a:t>Graf 17: </a:t>
            </a:r>
            <a:r>
              <a:rPr lang="en-US" sz="1050" b="1" strike="noStrike" spc="-1">
                <a:solidFill>
                  <a:srgbClr val="000000"/>
                </a:solidFill>
                <a:latin typeface="Arial"/>
              </a:rPr>
              <a:t>Struktura subjektů podle postavení v </a:t>
            </a:r>
            <a:r>
              <a:rPr lang="cs-CZ" sz="1050" b="1" strike="noStrike" spc="-1">
                <a:solidFill>
                  <a:srgbClr val="000000"/>
                </a:solidFill>
                <a:latin typeface="Arial"/>
              </a:rPr>
              <a:t>GPN</a:t>
            </a:r>
            <a:endParaRPr lang="en-US" sz="1050" b="1" strike="noStrike" spc="-1">
              <a:solidFill>
                <a:srgbClr val="000000"/>
              </a:solidFill>
              <a:latin typeface="Arial"/>
            </a:endParaRPr>
          </a:p>
        </c:rich>
      </c:tx>
      <c:layout>
        <c:manualLayout>
          <c:xMode val="edge"/>
          <c:yMode val="edge"/>
          <c:x val="0.13684088458014912"/>
          <c:y val="9.2819647544056978E-3"/>
        </c:manualLayout>
      </c:layout>
      <c:overlay val="0"/>
      <c:spPr>
        <a:noFill/>
        <a:ln w="0">
          <a:noFill/>
        </a:ln>
      </c:spPr>
    </c:title>
    <c:autoTitleDeleted val="0"/>
    <c:plotArea>
      <c:layout>
        <c:manualLayout>
          <c:layoutTarget val="inner"/>
          <c:xMode val="edge"/>
          <c:yMode val="edge"/>
          <c:x val="1.8086402399025401E-2"/>
          <c:y val="0.132694579341121"/>
          <c:w val="0.59132227532564896"/>
          <c:h val="0.83659272870455403"/>
        </c:manualLayout>
      </c:layout>
      <c:pieChart>
        <c:varyColors val="1"/>
        <c:ser>
          <c:idx val="0"/>
          <c:order val="0"/>
          <c:spPr>
            <a:solidFill>
              <a:srgbClr val="4472C4"/>
            </a:solidFill>
            <a:ln w="6480">
              <a:noFill/>
            </a:ln>
          </c:spPr>
          <c:dPt>
            <c:idx val="0"/>
            <c:bubble3D val="0"/>
            <c:spPr>
              <a:solidFill>
                <a:srgbClr val="FF5050"/>
              </a:solidFill>
              <a:ln w="6480">
                <a:solidFill>
                  <a:srgbClr val="FFFFFF"/>
                </a:solidFill>
                <a:round/>
              </a:ln>
            </c:spPr>
            <c:extLst>
              <c:ext xmlns:c16="http://schemas.microsoft.com/office/drawing/2014/chart" uri="{C3380CC4-5D6E-409C-BE32-E72D297353CC}">
                <c16:uniqueId val="{00000001-FFE7-45DD-B366-5D41F51114E2}"/>
              </c:ext>
            </c:extLst>
          </c:dPt>
          <c:dPt>
            <c:idx val="1"/>
            <c:bubble3D val="0"/>
            <c:spPr>
              <a:solidFill>
                <a:srgbClr val="FF7C80"/>
              </a:solidFill>
              <a:ln w="6480">
                <a:solidFill>
                  <a:srgbClr val="FFFFFF"/>
                </a:solidFill>
                <a:round/>
              </a:ln>
            </c:spPr>
            <c:extLst>
              <c:ext xmlns:c16="http://schemas.microsoft.com/office/drawing/2014/chart" uri="{C3380CC4-5D6E-409C-BE32-E72D297353CC}">
                <c16:uniqueId val="{00000003-FFE7-45DD-B366-5D41F51114E2}"/>
              </c:ext>
            </c:extLst>
          </c:dPt>
          <c:dPt>
            <c:idx val="2"/>
            <c:bubble3D val="0"/>
            <c:spPr>
              <a:solidFill>
                <a:srgbClr val="FF9966"/>
              </a:solidFill>
              <a:ln w="6480">
                <a:solidFill>
                  <a:srgbClr val="FFFFFF"/>
                </a:solidFill>
                <a:round/>
              </a:ln>
            </c:spPr>
            <c:extLst>
              <c:ext xmlns:c16="http://schemas.microsoft.com/office/drawing/2014/chart" uri="{C3380CC4-5D6E-409C-BE32-E72D297353CC}">
                <c16:uniqueId val="{00000005-FFE7-45DD-B366-5D41F51114E2}"/>
              </c:ext>
            </c:extLst>
          </c:dPt>
          <c:dPt>
            <c:idx val="3"/>
            <c:bubble3D val="0"/>
            <c:spPr>
              <a:solidFill>
                <a:srgbClr val="FFCC99"/>
              </a:solidFill>
              <a:ln w="6480">
                <a:solidFill>
                  <a:srgbClr val="FFFFFF"/>
                </a:solidFill>
                <a:round/>
              </a:ln>
            </c:spPr>
            <c:extLst>
              <c:ext xmlns:c16="http://schemas.microsoft.com/office/drawing/2014/chart" uri="{C3380CC4-5D6E-409C-BE32-E72D297353CC}">
                <c16:uniqueId val="{00000007-FFE7-45DD-B366-5D41F51114E2}"/>
              </c:ext>
            </c:extLst>
          </c:dPt>
          <c:dPt>
            <c:idx val="4"/>
            <c:bubble3D val="0"/>
            <c:spPr>
              <a:solidFill>
                <a:srgbClr val="FFEBAB"/>
              </a:solidFill>
              <a:ln w="6480">
                <a:solidFill>
                  <a:srgbClr val="FFFFFF"/>
                </a:solidFill>
                <a:round/>
              </a:ln>
            </c:spPr>
            <c:extLst>
              <c:ext xmlns:c16="http://schemas.microsoft.com/office/drawing/2014/chart" uri="{C3380CC4-5D6E-409C-BE32-E72D297353CC}">
                <c16:uniqueId val="{00000009-FFE7-45DD-B366-5D41F51114E2}"/>
              </c:ext>
            </c:extLst>
          </c:dPt>
          <c:dPt>
            <c:idx val="5"/>
            <c:bubble3D val="0"/>
            <c:spPr>
              <a:solidFill>
                <a:schemeClr val="tx2">
                  <a:lumMod val="50000"/>
                  <a:lumOff val="50000"/>
                </a:schemeClr>
              </a:solidFill>
              <a:ln w="6480">
                <a:solidFill>
                  <a:srgbClr val="FFFFFF"/>
                </a:solidFill>
                <a:round/>
              </a:ln>
            </c:spPr>
            <c:extLst>
              <c:ext xmlns:c16="http://schemas.microsoft.com/office/drawing/2014/chart" uri="{C3380CC4-5D6E-409C-BE32-E72D297353CC}">
                <c16:uniqueId val="{0000000B-FFE7-45DD-B366-5D41F51114E2}"/>
              </c:ext>
            </c:extLst>
          </c:dPt>
          <c:dPt>
            <c:idx val="6"/>
            <c:bubble3D val="0"/>
            <c:spPr>
              <a:solidFill>
                <a:schemeClr val="tx2">
                  <a:lumMod val="25000"/>
                  <a:lumOff val="75000"/>
                </a:schemeClr>
              </a:solidFill>
              <a:ln w="6480">
                <a:solidFill>
                  <a:srgbClr val="FFFFFF"/>
                </a:solidFill>
                <a:round/>
              </a:ln>
            </c:spPr>
            <c:extLst>
              <c:ext xmlns:c16="http://schemas.microsoft.com/office/drawing/2014/chart" uri="{C3380CC4-5D6E-409C-BE32-E72D297353CC}">
                <c16:uniqueId val="{0000000D-FFE7-45DD-B366-5D41F51114E2}"/>
              </c:ext>
            </c:extLst>
          </c:dPt>
          <c:dPt>
            <c:idx val="7"/>
            <c:bubble3D val="0"/>
            <c:spPr>
              <a:solidFill>
                <a:srgbClr val="E7E6E6"/>
              </a:solidFill>
              <a:ln w="6480">
                <a:solidFill>
                  <a:srgbClr val="FFFFFF"/>
                </a:solidFill>
                <a:round/>
              </a:ln>
            </c:spPr>
            <c:extLst>
              <c:ext xmlns:c16="http://schemas.microsoft.com/office/drawing/2014/chart" uri="{C3380CC4-5D6E-409C-BE32-E72D297353CC}">
                <c16:uniqueId val="{0000000F-FFE7-45DD-B366-5D41F51114E2}"/>
              </c:ext>
            </c:extLst>
          </c:dPt>
          <c:dLbls>
            <c:dLbl>
              <c:idx val="0"/>
              <c:spPr/>
              <c:txPr>
                <a:bodyPr wrap="square"/>
                <a:lstStyle/>
                <a:p>
                  <a:pPr>
                    <a:defRPr sz="800" b="0" strike="noStrike" spc="-1">
                      <a:solidFill>
                        <a:srgbClr val="000000"/>
                      </a:solidFill>
                      <a:latin typeface="Arial"/>
                    </a:defRPr>
                  </a:pPr>
                  <a:endParaRPr lang="cs-CZ"/>
                </a:p>
              </c:txPr>
              <c:dLblPos val="bestFit"/>
              <c:showLegendKey val="0"/>
              <c:showVal val="1"/>
              <c:showCatName val="0"/>
              <c:showSerName val="0"/>
              <c:showPercent val="0"/>
              <c:showBubbleSiz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FFE7-45DD-B366-5D41F51114E2}"/>
                </c:ext>
              </c:extLst>
            </c:dLbl>
            <c:dLbl>
              <c:idx val="1"/>
              <c:spPr/>
              <c:txPr>
                <a:bodyPr wrap="square"/>
                <a:lstStyle/>
                <a:p>
                  <a:pPr>
                    <a:defRPr sz="800" b="0" strike="noStrike" spc="-1">
                      <a:solidFill>
                        <a:srgbClr val="000000"/>
                      </a:solidFill>
                      <a:latin typeface="Arial"/>
                    </a:defRPr>
                  </a:pPr>
                  <a:endParaRPr lang="cs-CZ"/>
                </a:p>
              </c:txPr>
              <c:dLblPos val="bestFit"/>
              <c:showLegendKey val="0"/>
              <c:showVal val="1"/>
              <c:showCatName val="0"/>
              <c:showSerName val="0"/>
              <c:showPercent val="0"/>
              <c:showBubbleSiz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FFE7-45DD-B366-5D41F51114E2}"/>
                </c:ext>
              </c:extLst>
            </c:dLbl>
            <c:dLbl>
              <c:idx val="2"/>
              <c:spPr/>
              <c:txPr>
                <a:bodyPr wrap="square"/>
                <a:lstStyle/>
                <a:p>
                  <a:pPr>
                    <a:defRPr sz="800" b="0" strike="noStrike" spc="-1">
                      <a:solidFill>
                        <a:srgbClr val="000000"/>
                      </a:solidFill>
                      <a:latin typeface="Arial"/>
                    </a:defRPr>
                  </a:pPr>
                  <a:endParaRPr lang="cs-CZ"/>
                </a:p>
              </c:txPr>
              <c:dLblPos val="bestFit"/>
              <c:showLegendKey val="0"/>
              <c:showVal val="1"/>
              <c:showCatName val="0"/>
              <c:showSerName val="0"/>
              <c:showPercent val="0"/>
              <c:showBubbleSiz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FFE7-45DD-B366-5D41F51114E2}"/>
                </c:ext>
              </c:extLst>
            </c:dLbl>
            <c:dLbl>
              <c:idx val="3"/>
              <c:spPr/>
              <c:txPr>
                <a:bodyPr wrap="square"/>
                <a:lstStyle/>
                <a:p>
                  <a:pPr>
                    <a:defRPr sz="800" b="0" strike="noStrike" spc="-1">
                      <a:solidFill>
                        <a:srgbClr val="000000"/>
                      </a:solidFill>
                      <a:latin typeface="Arial"/>
                    </a:defRPr>
                  </a:pPr>
                  <a:endParaRPr lang="cs-CZ"/>
                </a:p>
              </c:txPr>
              <c:dLblPos val="bestFit"/>
              <c:showLegendKey val="0"/>
              <c:showVal val="1"/>
              <c:showCatName val="0"/>
              <c:showSerName val="0"/>
              <c:showPercent val="0"/>
              <c:showBubbleSiz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FFE7-45DD-B366-5D41F51114E2}"/>
                </c:ext>
              </c:extLst>
            </c:dLbl>
            <c:dLbl>
              <c:idx val="4"/>
              <c:spPr/>
              <c:txPr>
                <a:bodyPr wrap="square"/>
                <a:lstStyle/>
                <a:p>
                  <a:pPr>
                    <a:defRPr sz="800" b="0" strike="noStrike" spc="-1">
                      <a:solidFill>
                        <a:srgbClr val="000000"/>
                      </a:solidFill>
                      <a:latin typeface="Arial"/>
                    </a:defRPr>
                  </a:pPr>
                  <a:endParaRPr lang="cs-CZ"/>
                </a:p>
              </c:txPr>
              <c:dLblPos val="bestFit"/>
              <c:showLegendKey val="0"/>
              <c:showVal val="1"/>
              <c:showCatName val="0"/>
              <c:showSerName val="0"/>
              <c:showPercent val="0"/>
              <c:showBubbleSiz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FFE7-45DD-B366-5D41F51114E2}"/>
                </c:ext>
              </c:extLst>
            </c:dLbl>
            <c:dLbl>
              <c:idx val="5"/>
              <c:spPr/>
              <c:txPr>
                <a:bodyPr wrap="square"/>
                <a:lstStyle/>
                <a:p>
                  <a:pPr>
                    <a:defRPr sz="800" b="0" strike="noStrike" spc="-1">
                      <a:solidFill>
                        <a:srgbClr val="000000"/>
                      </a:solidFill>
                      <a:latin typeface="Arial"/>
                    </a:defRPr>
                  </a:pPr>
                  <a:endParaRPr lang="cs-CZ"/>
                </a:p>
              </c:txPr>
              <c:dLblPos val="bestFit"/>
              <c:showLegendKey val="0"/>
              <c:showVal val="1"/>
              <c:showCatName val="0"/>
              <c:showSerName val="0"/>
              <c:showPercent val="0"/>
              <c:showBubbleSiz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FFE7-45DD-B366-5D41F51114E2}"/>
                </c:ext>
              </c:extLst>
            </c:dLbl>
            <c:dLbl>
              <c:idx val="6"/>
              <c:spPr/>
              <c:txPr>
                <a:bodyPr wrap="square"/>
                <a:lstStyle/>
                <a:p>
                  <a:pPr>
                    <a:defRPr sz="800" b="0" strike="noStrike" spc="-1">
                      <a:solidFill>
                        <a:srgbClr val="000000"/>
                      </a:solidFill>
                      <a:latin typeface="Arial"/>
                    </a:defRPr>
                  </a:pPr>
                  <a:endParaRPr lang="cs-CZ"/>
                </a:p>
              </c:txPr>
              <c:dLblPos val="bestFit"/>
              <c:showLegendKey val="0"/>
              <c:showVal val="1"/>
              <c:showCatName val="0"/>
              <c:showSerName val="0"/>
              <c:showPercent val="0"/>
              <c:showBubbleSiz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FFE7-45DD-B366-5D41F51114E2}"/>
                </c:ext>
              </c:extLst>
            </c:dLbl>
            <c:dLbl>
              <c:idx val="7"/>
              <c:spPr/>
              <c:txPr>
                <a:bodyPr wrap="square"/>
                <a:lstStyle/>
                <a:p>
                  <a:pPr>
                    <a:defRPr sz="800" b="0" strike="noStrike" spc="-1">
                      <a:solidFill>
                        <a:srgbClr val="000000"/>
                      </a:solidFill>
                      <a:latin typeface="Arial"/>
                    </a:defRPr>
                  </a:pPr>
                  <a:endParaRPr lang="cs-CZ"/>
                </a:p>
              </c:txPr>
              <c:dLblPos val="bestFit"/>
              <c:showLegendKey val="0"/>
              <c:showVal val="1"/>
              <c:showCatName val="0"/>
              <c:showSerName val="0"/>
              <c:showPercent val="0"/>
              <c:showBubbleSiz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F-FFE7-45DD-B366-5D41F51114E2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/>
              <a:lstStyle/>
              <a:p>
                <a:pPr>
                  <a:defRPr sz="800" b="0" strike="noStrike" spc="-1">
                    <a:solidFill>
                      <a:srgbClr val="000000"/>
                    </a:solidFill>
                    <a:latin typeface="Arial"/>
                  </a:defRPr>
                </a:pPr>
                <a:endParaRPr lang="cs-CZ"/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1"/>
            <c:separator>; </c:separator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'[FirmyGPN241004.xlsx]PočetZam+GPN'!$A$4:$A$10</c:f>
              <c:strCache>
                <c:ptCount val="7"/>
                <c:pt idx="0">
                  <c:v>Vedoucí firma (integrátor)</c:v>
                </c:pt>
                <c:pt idx="1">
                  <c:v>Pobočka zahraniční vedoucí firmy</c:v>
                </c:pt>
                <c:pt idx="2">
                  <c:v>Dodavatel 1. řádu</c:v>
                </c:pt>
                <c:pt idx="3">
                  <c:v>Dodavatel 2. řádu</c:v>
                </c:pt>
                <c:pt idx="4">
                  <c:v>Dodavatel 3. řádu</c:v>
                </c:pt>
                <c:pt idx="5">
                  <c:v>Mimo GPN s přístupem na koncový trh</c:v>
                </c:pt>
                <c:pt idx="6">
                  <c:v>Mimo GPN bez přístupu na koncový trh</c:v>
                </c:pt>
              </c:strCache>
            </c:strRef>
          </c:cat>
          <c:val>
            <c:numRef>
              <c:f>'[FirmyGPN241004.xlsx]PočetZam+GPN'!$O$4:$O$10</c:f>
              <c:numCache>
                <c:formatCode>General</c:formatCode>
                <c:ptCount val="7"/>
                <c:pt idx="0">
                  <c:v>3</c:v>
                </c:pt>
                <c:pt idx="1">
                  <c:v>24</c:v>
                </c:pt>
                <c:pt idx="2">
                  <c:v>14</c:v>
                </c:pt>
                <c:pt idx="3">
                  <c:v>37</c:v>
                </c:pt>
                <c:pt idx="4">
                  <c:v>38</c:v>
                </c:pt>
                <c:pt idx="5">
                  <c:v>73</c:v>
                </c:pt>
                <c:pt idx="6">
                  <c:v>29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0-FFE7-45DD-B366-5D41F51114E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 w="0">
          <a:noFill/>
        </a:ln>
      </c:spPr>
    </c:plotArea>
    <c:legend>
      <c:legendPos val="b"/>
      <c:layout>
        <c:manualLayout>
          <c:xMode val="edge"/>
          <c:yMode val="edge"/>
          <c:x val="0.61219991147610797"/>
          <c:y val="0.14351633129192201"/>
          <c:w val="0.36510257280935599"/>
          <c:h val="0.83796515018955997"/>
        </c:manualLayout>
      </c:layout>
      <c:overlay val="0"/>
      <c:spPr>
        <a:noFill/>
        <a:ln w="0">
          <a:noFill/>
        </a:ln>
      </c:spPr>
      <c:txPr>
        <a:bodyPr/>
        <a:lstStyle/>
        <a:p>
          <a:pPr>
            <a:defRPr sz="900" b="0" strike="noStrike" spc="-1">
              <a:solidFill>
                <a:srgbClr val="000000"/>
              </a:solidFill>
              <a:latin typeface="Arial"/>
            </a:defRPr>
          </a:pPr>
          <a:endParaRPr lang="cs-CZ"/>
        </a:p>
      </c:txPr>
    </c:legend>
    <c:plotVisOnly val="1"/>
    <c:dispBlanksAs val="gap"/>
    <c:showDLblsOverMax val="1"/>
  </c:chart>
  <c:spPr>
    <a:solidFill>
      <a:srgbClr val="FFFFFF"/>
    </a:solidFill>
    <a:ln w="9360">
      <a:solidFill>
        <a:srgbClr val="D9D9D9"/>
      </a:solidFill>
      <a:round/>
    </a:ln>
  </c:sp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/>
          <a:lstStyle/>
          <a:p>
            <a:pPr>
              <a:defRPr lang="cs-CZ" sz="1050" b="1" strike="noStrike" spc="-1">
                <a:solidFill>
                  <a:srgbClr val="000000"/>
                </a:solidFill>
                <a:latin typeface="Arial"/>
              </a:defRPr>
            </a:pPr>
            <a:r>
              <a:rPr lang="cs-CZ" sz="1050" b="1" strike="noStrike" spc="-1">
                <a:solidFill>
                  <a:srgbClr val="000000"/>
                </a:solidFill>
                <a:latin typeface="Arial"/>
              </a:rPr>
              <a:t>Graf</a:t>
            </a:r>
            <a:r>
              <a:rPr lang="cs-CZ" sz="1050" b="1" strike="noStrike" spc="-1" baseline="0">
                <a:solidFill>
                  <a:srgbClr val="000000"/>
                </a:solidFill>
                <a:latin typeface="Arial"/>
              </a:rPr>
              <a:t> 18: </a:t>
            </a:r>
            <a:r>
              <a:rPr lang="cs-CZ" sz="1050" b="1" strike="noStrike" spc="-1">
                <a:solidFill>
                  <a:srgbClr val="000000"/>
                </a:solidFill>
                <a:latin typeface="Arial"/>
              </a:rPr>
              <a:t>Struktura subjektů podle vlastnictví a postavení v GPN</a:t>
            </a:r>
          </a:p>
        </c:rich>
      </c:tx>
      <c:layout>
        <c:manualLayout>
          <c:xMode val="edge"/>
          <c:yMode val="edge"/>
          <c:x val="0.1753947694648918"/>
          <c:y val="5.0286769709341891E-3"/>
        </c:manualLayout>
      </c:layout>
      <c:overlay val="0"/>
      <c:spPr>
        <a:noFill/>
        <a:ln w="0">
          <a:noFill/>
        </a:ln>
      </c:spPr>
    </c:title>
    <c:autoTitleDeleted val="0"/>
    <c:plotArea>
      <c:layout>
        <c:manualLayout>
          <c:layoutTarget val="inner"/>
          <c:xMode val="edge"/>
          <c:yMode val="edge"/>
          <c:x val="0.37454420546424988"/>
          <c:y val="0.20190871974336541"/>
          <c:w val="0.58665944441508566"/>
          <c:h val="0.70227860406338094"/>
        </c:manualLayout>
      </c:layout>
      <c:barChart>
        <c:barDir val="bar"/>
        <c:grouping val="stacked"/>
        <c:varyColors val="0"/>
        <c:ser>
          <c:idx val="0"/>
          <c:order val="0"/>
          <c:tx>
            <c:strRef>
              <c:f>[FirmyGPN241004.xlsx]Vlastnictví!$B$2</c:f>
              <c:strCache>
                <c:ptCount val="1"/>
                <c:pt idx="0">
                  <c:v>Domácí</c:v>
                </c:pt>
              </c:strCache>
            </c:strRef>
          </c:tx>
          <c:spPr>
            <a:solidFill>
              <a:srgbClr val="5B9BD5"/>
            </a:solidFill>
            <a:ln w="0"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/>
              <a:lstStyle/>
              <a:p>
                <a:pPr>
                  <a:defRPr sz="800" b="0" strike="noStrike" spc="-1">
                    <a:solidFill>
                      <a:srgbClr val="FFFFFF"/>
                    </a:solidFill>
                    <a:latin typeface="Arial"/>
                  </a:defRPr>
                </a:pPr>
                <a:endParaRPr lang="cs-CZ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1"/>
            <c:separator>; </c:separator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[FirmyGPN241004.xlsx]Vlastnictví!$A$3:$A$8</c:f>
              <c:strCache>
                <c:ptCount val="6"/>
                <c:pt idx="0">
                  <c:v>Vedoucí firma (integrátor)</c:v>
                </c:pt>
                <c:pt idx="1">
                  <c:v>Dodavatel 1. řádu</c:v>
                </c:pt>
                <c:pt idx="2">
                  <c:v>Dodavatel 2. řádu</c:v>
                </c:pt>
                <c:pt idx="3">
                  <c:v>Dodavatel 3. řádu</c:v>
                </c:pt>
                <c:pt idx="4">
                  <c:v>Mimo GPN s přístupem na koncový trh</c:v>
                </c:pt>
                <c:pt idx="5">
                  <c:v>Mimo GPN bez přístupu na koncový trh</c:v>
                </c:pt>
              </c:strCache>
            </c:strRef>
          </c:cat>
          <c:val>
            <c:numRef>
              <c:f>[FirmyGPN241004.xlsx]Vlastnictví!$B$3:$B$8</c:f>
              <c:numCache>
                <c:formatCode>General</c:formatCode>
                <c:ptCount val="6"/>
                <c:pt idx="0">
                  <c:v>3</c:v>
                </c:pt>
                <c:pt idx="1">
                  <c:v>2</c:v>
                </c:pt>
                <c:pt idx="2">
                  <c:v>1</c:v>
                </c:pt>
                <c:pt idx="3">
                  <c:v>8</c:v>
                </c:pt>
                <c:pt idx="4">
                  <c:v>64</c:v>
                </c:pt>
                <c:pt idx="5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B14-4DE5-AC66-DF4A3B67AA43}"/>
            </c:ext>
          </c:extLst>
        </c:ser>
        <c:ser>
          <c:idx val="1"/>
          <c:order val="1"/>
          <c:tx>
            <c:strRef>
              <c:f>[FirmyGPN241004.xlsx]Vlastnictví!$C$2</c:f>
              <c:strCache>
                <c:ptCount val="1"/>
                <c:pt idx="0">
                  <c:v>Zahraniční</c:v>
                </c:pt>
              </c:strCache>
            </c:strRef>
          </c:tx>
          <c:spPr>
            <a:solidFill>
              <a:srgbClr val="92D050"/>
            </a:solidFill>
            <a:ln w="0"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/>
              <a:lstStyle/>
              <a:p>
                <a:pPr>
                  <a:defRPr sz="800" b="0" strike="noStrike" spc="-1">
                    <a:solidFill>
                      <a:srgbClr val="000000"/>
                    </a:solidFill>
                    <a:latin typeface="Arial"/>
                  </a:defRPr>
                </a:pPr>
                <a:endParaRPr lang="cs-CZ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1"/>
            <c:separator>; </c:separator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[FirmyGPN241004.xlsx]Vlastnictví!$A$3:$A$8</c:f>
              <c:strCache>
                <c:ptCount val="6"/>
                <c:pt idx="0">
                  <c:v>Vedoucí firma (integrátor)</c:v>
                </c:pt>
                <c:pt idx="1">
                  <c:v>Dodavatel 1. řádu</c:v>
                </c:pt>
                <c:pt idx="2">
                  <c:v>Dodavatel 2. řádu</c:v>
                </c:pt>
                <c:pt idx="3">
                  <c:v>Dodavatel 3. řádu</c:v>
                </c:pt>
                <c:pt idx="4">
                  <c:v>Mimo GPN s přístupem na koncový trh</c:v>
                </c:pt>
                <c:pt idx="5">
                  <c:v>Mimo GPN bez přístupu na koncový trh</c:v>
                </c:pt>
              </c:strCache>
            </c:strRef>
          </c:cat>
          <c:val>
            <c:numRef>
              <c:f>[FirmyGPN241004.xlsx]Vlastnictví!$C$3:$C$8</c:f>
              <c:numCache>
                <c:formatCode>General</c:formatCode>
                <c:ptCount val="6"/>
                <c:pt idx="0">
                  <c:v>24</c:v>
                </c:pt>
                <c:pt idx="1">
                  <c:v>12</c:v>
                </c:pt>
                <c:pt idx="2">
                  <c:v>36</c:v>
                </c:pt>
                <c:pt idx="3">
                  <c:v>30</c:v>
                </c:pt>
                <c:pt idx="4">
                  <c:v>9</c:v>
                </c:pt>
                <c:pt idx="5">
                  <c:v>27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BB14-4DE5-AC66-DF4A3B67AA4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30"/>
        <c:overlap val="100"/>
        <c:axId val="19416271"/>
        <c:axId val="72466066"/>
      </c:barChart>
      <c:catAx>
        <c:axId val="19416271"/>
        <c:scaling>
          <c:orientation val="maxMin"/>
        </c:scaling>
        <c:delete val="0"/>
        <c:axPos val="l"/>
        <c:numFmt formatCode="General" sourceLinked="0"/>
        <c:majorTickMark val="none"/>
        <c:minorTickMark val="none"/>
        <c:tickLblPos val="nextTo"/>
        <c:spPr>
          <a:ln w="9360">
            <a:solidFill>
              <a:srgbClr val="D9D9D9"/>
            </a:solidFill>
            <a:round/>
          </a:ln>
        </c:spPr>
        <c:txPr>
          <a:bodyPr/>
          <a:lstStyle/>
          <a:p>
            <a:pPr>
              <a:defRPr sz="900" b="0" strike="noStrike" spc="-1">
                <a:solidFill>
                  <a:srgbClr val="000000"/>
                </a:solidFill>
                <a:latin typeface="Arial"/>
              </a:defRPr>
            </a:pPr>
            <a:endParaRPr lang="cs-CZ"/>
          </a:p>
        </c:txPr>
        <c:crossAx val="72466066"/>
        <c:crosses val="autoZero"/>
        <c:auto val="1"/>
        <c:lblAlgn val="ctr"/>
        <c:lblOffset val="100"/>
        <c:noMultiLvlLbl val="0"/>
      </c:catAx>
      <c:valAx>
        <c:axId val="72466066"/>
        <c:scaling>
          <c:orientation val="minMax"/>
        </c:scaling>
        <c:delete val="0"/>
        <c:axPos val="b"/>
        <c:majorGridlines>
          <c:spPr>
            <a:ln w="9360">
              <a:solidFill>
                <a:srgbClr val="D9D9D9"/>
              </a:solidFill>
              <a:round/>
            </a:ln>
          </c:spPr>
        </c:majorGridlines>
        <c:numFmt formatCode="General" sourceLinked="0"/>
        <c:majorTickMark val="none"/>
        <c:minorTickMark val="none"/>
        <c:tickLblPos val="nextTo"/>
        <c:spPr>
          <a:ln w="6480">
            <a:solidFill>
              <a:srgbClr val="E7E6E6"/>
            </a:solidFill>
            <a:round/>
          </a:ln>
        </c:spPr>
        <c:txPr>
          <a:bodyPr/>
          <a:lstStyle/>
          <a:p>
            <a:pPr>
              <a:defRPr sz="800" b="0" strike="noStrike" spc="-1">
                <a:solidFill>
                  <a:srgbClr val="000000"/>
                </a:solidFill>
                <a:latin typeface="Arial"/>
              </a:defRPr>
            </a:pPr>
            <a:endParaRPr lang="cs-CZ"/>
          </a:p>
        </c:txPr>
        <c:crossAx val="19416271"/>
        <c:crosses val="max"/>
        <c:crossBetween val="between"/>
      </c:valAx>
      <c:spPr>
        <a:noFill/>
        <a:ln w="0">
          <a:noFill/>
        </a:ln>
      </c:spPr>
    </c:plotArea>
    <c:legend>
      <c:legendPos val="b"/>
      <c:layout>
        <c:manualLayout>
          <c:xMode val="edge"/>
          <c:yMode val="edge"/>
          <c:x val="0.30965368422906869"/>
          <c:y val="0.10982939632545932"/>
          <c:w val="0.38295284398175061"/>
          <c:h val="7.5213646288965305E-2"/>
        </c:manualLayout>
      </c:layout>
      <c:overlay val="0"/>
      <c:spPr>
        <a:noFill/>
        <a:ln w="0">
          <a:noFill/>
        </a:ln>
      </c:spPr>
      <c:txPr>
        <a:bodyPr/>
        <a:lstStyle/>
        <a:p>
          <a:pPr>
            <a:defRPr sz="900" b="0" strike="noStrike" spc="-1">
              <a:solidFill>
                <a:srgbClr val="000000"/>
              </a:solidFill>
              <a:latin typeface="Arial"/>
            </a:defRPr>
          </a:pPr>
          <a:endParaRPr lang="cs-CZ"/>
        </a:p>
      </c:txPr>
    </c:legend>
    <c:plotVisOnly val="1"/>
    <c:dispBlanksAs val="gap"/>
    <c:showDLblsOverMax val="1"/>
  </c:chart>
  <c:spPr>
    <a:solidFill>
      <a:srgbClr val="FFFFFF"/>
    </a:solidFill>
    <a:ln w="9360">
      <a:solidFill>
        <a:srgbClr val="D9D9D9"/>
      </a:solidFill>
      <a:round/>
    </a:ln>
  </c:sp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/>
          <a:lstStyle/>
          <a:p>
            <a:pPr>
              <a:defRPr lang="cs-CZ" sz="1050" b="1" strike="noStrike" spc="-1">
                <a:solidFill>
                  <a:srgbClr val="000000"/>
                </a:solidFill>
                <a:latin typeface="Arial"/>
              </a:defRPr>
            </a:pPr>
            <a:r>
              <a:rPr lang="cs-CZ" sz="1050" b="1" strike="noStrike" spc="-1">
                <a:solidFill>
                  <a:srgbClr val="000000"/>
                </a:solidFill>
                <a:latin typeface="Arial"/>
              </a:rPr>
              <a:t>Graf 19: Struktura subjektů podle počtu zaměstnanců a postavení v GPN</a:t>
            </a:r>
          </a:p>
        </c:rich>
      </c:tx>
      <c:layout>
        <c:manualLayout>
          <c:xMode val="edge"/>
          <c:yMode val="edge"/>
          <c:x val="7.7697106043562739E-2"/>
          <c:y val="1.1231248368433519E-3"/>
        </c:manualLayout>
      </c:layout>
      <c:overlay val="0"/>
      <c:spPr>
        <a:noFill/>
        <a:ln w="0">
          <a:noFill/>
        </a:ln>
      </c:spPr>
    </c:title>
    <c:autoTitleDeleted val="0"/>
    <c:plotArea>
      <c:layout>
        <c:manualLayout>
          <c:layoutTarget val="inner"/>
          <c:xMode val="edge"/>
          <c:yMode val="edge"/>
          <c:x val="0.102911168548497"/>
          <c:y val="8.9557975656630401E-2"/>
          <c:w val="0.63351924908175805"/>
          <c:h val="0.83907751441383704"/>
        </c:manualLayout>
      </c:layout>
      <c:barChart>
        <c:barDir val="bar"/>
        <c:grouping val="percentStacked"/>
        <c:varyColors val="0"/>
        <c:ser>
          <c:idx val="0"/>
          <c:order val="0"/>
          <c:tx>
            <c:strRef>
              <c:f>'[FirmyGPN241004.xlsx]PočetZam-agreg+GPN'!$A$4</c:f>
              <c:strCache>
                <c:ptCount val="1"/>
                <c:pt idx="0">
                  <c:v>Vedoucí firma (integrátor)</c:v>
                </c:pt>
              </c:strCache>
            </c:strRef>
          </c:tx>
          <c:spPr>
            <a:solidFill>
              <a:srgbClr val="FF5050"/>
            </a:solidFill>
            <a:ln w="0">
              <a:noFill/>
            </a:ln>
          </c:spPr>
          <c:invertIfNegative val="0"/>
          <c:dPt>
            <c:idx val="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0-FD70-46F6-8B59-09F5DCD042CA}"/>
              </c:ext>
            </c:extLst>
          </c:dPt>
          <c:dPt>
            <c:idx val="2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1-FD70-46F6-8B59-09F5DCD042CA}"/>
              </c:ext>
            </c:extLst>
          </c:dPt>
          <c:dPt>
            <c:idx val="4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2-FD70-46F6-8B59-09F5DCD042CA}"/>
              </c:ext>
            </c:extLst>
          </c:dPt>
          <c:dLbls>
            <c:dLbl>
              <c:idx val="0"/>
              <c:spPr/>
              <c:txPr>
                <a:bodyPr wrap="square"/>
                <a:lstStyle/>
                <a:p>
                  <a:pPr>
                    <a:defRPr sz="800" b="0" strike="noStrike" spc="-1">
                      <a:solidFill>
                        <a:schemeClr val="tx1"/>
                      </a:solidFill>
                      <a:latin typeface="Arial"/>
                    </a:defRPr>
                  </a:pPr>
                  <a:endParaRPr lang="cs-CZ"/>
                </a:p>
              </c:txPr>
              <c:dLblPos val="ctr"/>
              <c:showLegendKey val="0"/>
              <c:showVal val="0"/>
              <c:showCatName val="0"/>
              <c:showSerName val="0"/>
              <c:showPercent val="0"/>
              <c:showBubbleSize val="1"/>
              <c:separator>; </c:separator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FD70-46F6-8B59-09F5DCD042CA}"/>
                </c:ext>
              </c:extLst>
            </c:dLbl>
            <c:dLbl>
              <c:idx val="2"/>
              <c:spPr/>
              <c:txPr>
                <a:bodyPr wrap="square"/>
                <a:lstStyle/>
                <a:p>
                  <a:pPr>
                    <a:defRPr sz="800" b="0" strike="noStrike" spc="-1">
                      <a:solidFill>
                        <a:schemeClr val="tx1"/>
                      </a:solidFill>
                      <a:latin typeface="Arial"/>
                    </a:defRPr>
                  </a:pPr>
                  <a:endParaRPr lang="cs-CZ"/>
                </a:p>
              </c:txPr>
              <c:dLblPos val="ctr"/>
              <c:showLegendKey val="0"/>
              <c:showVal val="0"/>
              <c:showCatName val="0"/>
              <c:showSerName val="0"/>
              <c:showPercent val="0"/>
              <c:showBubbleSize val="1"/>
              <c:separator>; </c:separator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FD70-46F6-8B59-09F5DCD042CA}"/>
                </c:ext>
              </c:extLst>
            </c:dLbl>
            <c:dLbl>
              <c:idx val="4"/>
              <c:spPr/>
              <c:txPr>
                <a:bodyPr wrap="square"/>
                <a:lstStyle/>
                <a:p>
                  <a:pPr>
                    <a:defRPr sz="800" b="0" strike="noStrike" spc="-1">
                      <a:solidFill>
                        <a:schemeClr val="tx1"/>
                      </a:solidFill>
                      <a:latin typeface="Arial"/>
                    </a:defRPr>
                  </a:pPr>
                  <a:endParaRPr lang="cs-CZ"/>
                </a:p>
              </c:txPr>
              <c:dLblPos val="ctr"/>
              <c:showLegendKey val="0"/>
              <c:showVal val="0"/>
              <c:showCatName val="0"/>
              <c:showSerName val="0"/>
              <c:showPercent val="0"/>
              <c:showBubbleSize val="1"/>
              <c:separator>; </c:separator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FD70-46F6-8B59-09F5DCD042CA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/>
              <a:lstStyle/>
              <a:p>
                <a:pPr>
                  <a:defRPr sz="800" b="0" strike="noStrike" spc="-1">
                    <a:solidFill>
                      <a:schemeClr val="tx1"/>
                    </a:solidFill>
                    <a:latin typeface="Arial"/>
                  </a:defRPr>
                </a:pPr>
                <a:endParaRPr lang="cs-CZ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1"/>
            <c:separator>; </c:separator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'[FirmyGPN241004.xlsx]PočetZam-agreg+GPN'!$B$3:$G$3</c:f>
              <c:strCache>
                <c:ptCount val="6"/>
                <c:pt idx="0">
                  <c:v>&lt; 50</c:v>
                </c:pt>
                <c:pt idx="1">
                  <c:v>50 - 99</c:v>
                </c:pt>
                <c:pt idx="2">
                  <c:v>100 - 249</c:v>
                </c:pt>
                <c:pt idx="3">
                  <c:v>250 - 499</c:v>
                </c:pt>
                <c:pt idx="4">
                  <c:v>500 - 999</c:v>
                </c:pt>
                <c:pt idx="5">
                  <c:v>&gt; 1000</c:v>
                </c:pt>
              </c:strCache>
            </c:strRef>
          </c:cat>
          <c:val>
            <c:numRef>
              <c:f>'[FirmyGPN241004.xlsx]PočetZam-agreg+GPN'!$B$4:$G$4</c:f>
              <c:numCache>
                <c:formatCode>General</c:formatCode>
                <c:ptCount val="6"/>
                <c:pt idx="0">
                  <c:v>0</c:v>
                </c:pt>
                <c:pt idx="1">
                  <c:v>1</c:v>
                </c:pt>
                <c:pt idx="2">
                  <c:v>0</c:v>
                </c:pt>
                <c:pt idx="3">
                  <c:v>1</c:v>
                </c:pt>
                <c:pt idx="4">
                  <c:v>0</c:v>
                </c:pt>
                <c:pt idx="5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FD70-46F6-8B59-09F5DCD042CA}"/>
            </c:ext>
          </c:extLst>
        </c:ser>
        <c:ser>
          <c:idx val="1"/>
          <c:order val="1"/>
          <c:tx>
            <c:strRef>
              <c:f>'[FirmyGPN241004.xlsx]PočetZam-agreg+GPN'!$A$5</c:f>
              <c:strCache>
                <c:ptCount val="1"/>
                <c:pt idx="0">
                  <c:v>Pobočka zahraniční vedoucí firmy</c:v>
                </c:pt>
              </c:strCache>
            </c:strRef>
          </c:tx>
          <c:spPr>
            <a:solidFill>
              <a:srgbClr val="FF7C80"/>
            </a:solidFill>
            <a:ln w="0">
              <a:noFill/>
            </a:ln>
          </c:spPr>
          <c:invertIfNegative val="0"/>
          <c:dPt>
            <c:idx val="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4-FD70-46F6-8B59-09F5DCD042CA}"/>
              </c:ext>
            </c:extLst>
          </c:dPt>
          <c:dLbls>
            <c:dLbl>
              <c:idx val="0"/>
              <c:spPr/>
              <c:txPr>
                <a:bodyPr wrap="square"/>
                <a:lstStyle/>
                <a:p>
                  <a:pPr>
                    <a:defRPr sz="800" b="0" strike="noStrike" spc="-1">
                      <a:solidFill>
                        <a:schemeClr val="tx1"/>
                      </a:solidFill>
                      <a:latin typeface="Arial"/>
                    </a:defRPr>
                  </a:pPr>
                  <a:endParaRPr lang="cs-CZ"/>
                </a:p>
              </c:txPr>
              <c:dLblPos val="ctr"/>
              <c:showLegendKey val="0"/>
              <c:showVal val="0"/>
              <c:showCatName val="0"/>
              <c:showSerName val="0"/>
              <c:showPercent val="0"/>
              <c:showBubbleSize val="1"/>
              <c:separator>; </c:separator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FD70-46F6-8B59-09F5DCD042CA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/>
              <a:lstStyle/>
              <a:p>
                <a:pPr>
                  <a:defRPr sz="800" b="0" strike="noStrike" spc="-1">
                    <a:solidFill>
                      <a:schemeClr val="tx1"/>
                    </a:solidFill>
                    <a:latin typeface="Arial"/>
                  </a:defRPr>
                </a:pPr>
                <a:endParaRPr lang="cs-CZ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1"/>
            <c:separator>; </c:separator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'[FirmyGPN241004.xlsx]PočetZam-agreg+GPN'!$B$3:$G$3</c:f>
              <c:strCache>
                <c:ptCount val="6"/>
                <c:pt idx="0">
                  <c:v>&lt; 50</c:v>
                </c:pt>
                <c:pt idx="1">
                  <c:v>50 - 99</c:v>
                </c:pt>
                <c:pt idx="2">
                  <c:v>100 - 249</c:v>
                </c:pt>
                <c:pt idx="3">
                  <c:v>250 - 499</c:v>
                </c:pt>
                <c:pt idx="4">
                  <c:v>500 - 999</c:v>
                </c:pt>
                <c:pt idx="5">
                  <c:v>&gt; 1000</c:v>
                </c:pt>
              </c:strCache>
            </c:strRef>
          </c:cat>
          <c:val>
            <c:numRef>
              <c:f>'[FirmyGPN241004.xlsx]PočetZam-agreg+GPN'!$B$5:$G$5</c:f>
              <c:numCache>
                <c:formatCode>General</c:formatCode>
                <c:ptCount val="6"/>
                <c:pt idx="0">
                  <c:v>0</c:v>
                </c:pt>
                <c:pt idx="1">
                  <c:v>5</c:v>
                </c:pt>
                <c:pt idx="2">
                  <c:v>6</c:v>
                </c:pt>
                <c:pt idx="3">
                  <c:v>7</c:v>
                </c:pt>
                <c:pt idx="4">
                  <c:v>2</c:v>
                </c:pt>
                <c:pt idx="5">
                  <c:v>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FD70-46F6-8B59-09F5DCD042CA}"/>
            </c:ext>
          </c:extLst>
        </c:ser>
        <c:ser>
          <c:idx val="2"/>
          <c:order val="2"/>
          <c:tx>
            <c:strRef>
              <c:f>'[FirmyGPN241004.xlsx]PočetZam-agreg+GPN'!$A$6</c:f>
              <c:strCache>
                <c:ptCount val="1"/>
                <c:pt idx="0">
                  <c:v>Dodavatel 1. řádu</c:v>
                </c:pt>
              </c:strCache>
            </c:strRef>
          </c:tx>
          <c:spPr>
            <a:solidFill>
              <a:srgbClr val="FF9966"/>
            </a:solidFill>
            <a:ln w="0">
              <a:noFill/>
            </a:ln>
          </c:spPr>
          <c:invertIfNegative val="0"/>
          <c:dPt>
            <c:idx val="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6-FD70-46F6-8B59-09F5DCD042CA}"/>
              </c:ext>
            </c:extLst>
          </c:dPt>
          <c:dPt>
            <c:idx val="1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7-FD70-46F6-8B59-09F5DCD042CA}"/>
              </c:ext>
            </c:extLst>
          </c:dPt>
          <c:dLbls>
            <c:dLbl>
              <c:idx val="0"/>
              <c:spPr/>
              <c:txPr>
                <a:bodyPr wrap="square"/>
                <a:lstStyle/>
                <a:p>
                  <a:pPr>
                    <a:defRPr sz="800" b="0" strike="noStrike" spc="-1">
                      <a:solidFill>
                        <a:srgbClr val="000000"/>
                      </a:solidFill>
                      <a:latin typeface="Arial"/>
                    </a:defRPr>
                  </a:pPr>
                  <a:endParaRPr lang="cs-CZ"/>
                </a:p>
              </c:txPr>
              <c:dLblPos val="ctr"/>
              <c:showLegendKey val="0"/>
              <c:showVal val="0"/>
              <c:showCatName val="0"/>
              <c:showSerName val="0"/>
              <c:showPercent val="0"/>
              <c:showBubbleSize val="1"/>
              <c:separator>; </c:separator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FD70-46F6-8B59-09F5DCD042CA}"/>
                </c:ext>
              </c:extLst>
            </c:dLbl>
            <c:dLbl>
              <c:idx val="1"/>
              <c:spPr/>
              <c:txPr>
                <a:bodyPr wrap="square"/>
                <a:lstStyle/>
                <a:p>
                  <a:pPr>
                    <a:defRPr sz="800" b="0" strike="noStrike" spc="-1">
                      <a:solidFill>
                        <a:srgbClr val="000000"/>
                      </a:solidFill>
                      <a:latin typeface="Arial"/>
                    </a:defRPr>
                  </a:pPr>
                  <a:endParaRPr lang="cs-CZ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FD70-46F6-8B59-09F5DCD042CA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/>
              <a:lstStyle/>
              <a:p>
                <a:pPr>
                  <a:defRPr sz="800" b="0" strike="noStrike" spc="-1">
                    <a:solidFill>
                      <a:srgbClr val="000000"/>
                    </a:solidFill>
                    <a:latin typeface="Arial"/>
                  </a:defRPr>
                </a:pPr>
                <a:endParaRPr lang="cs-CZ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1"/>
            <c:separator>; </c:separator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'[FirmyGPN241004.xlsx]PočetZam-agreg+GPN'!$B$3:$G$3</c:f>
              <c:strCache>
                <c:ptCount val="6"/>
                <c:pt idx="0">
                  <c:v>&lt; 50</c:v>
                </c:pt>
                <c:pt idx="1">
                  <c:v>50 - 99</c:v>
                </c:pt>
                <c:pt idx="2">
                  <c:v>100 - 249</c:v>
                </c:pt>
                <c:pt idx="3">
                  <c:v>250 - 499</c:v>
                </c:pt>
                <c:pt idx="4">
                  <c:v>500 - 999</c:v>
                </c:pt>
                <c:pt idx="5">
                  <c:v>&gt; 1000</c:v>
                </c:pt>
              </c:strCache>
            </c:strRef>
          </c:cat>
          <c:val>
            <c:numRef>
              <c:f>'[FirmyGPN241004.xlsx]PočetZam-agreg+GPN'!$B$6:$G$6</c:f>
              <c:numCache>
                <c:formatCode>General</c:formatCode>
                <c:ptCount val="6"/>
                <c:pt idx="0">
                  <c:v>0</c:v>
                </c:pt>
                <c:pt idx="1">
                  <c:v>1</c:v>
                </c:pt>
                <c:pt idx="2">
                  <c:v>1</c:v>
                </c:pt>
                <c:pt idx="3">
                  <c:v>4</c:v>
                </c:pt>
                <c:pt idx="4">
                  <c:v>1</c:v>
                </c:pt>
                <c:pt idx="5">
                  <c:v>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FD70-46F6-8B59-09F5DCD042CA}"/>
            </c:ext>
          </c:extLst>
        </c:ser>
        <c:ser>
          <c:idx val="3"/>
          <c:order val="3"/>
          <c:tx>
            <c:strRef>
              <c:f>'[FirmyGPN241004.xlsx]PočetZam-agreg+GPN'!$A$7</c:f>
              <c:strCache>
                <c:ptCount val="1"/>
                <c:pt idx="0">
                  <c:v>Dodavatel 2. řádu</c:v>
                </c:pt>
              </c:strCache>
            </c:strRef>
          </c:tx>
          <c:spPr>
            <a:solidFill>
              <a:srgbClr val="FFCC99"/>
            </a:solidFill>
            <a:ln w="0">
              <a:noFill/>
            </a:ln>
          </c:spPr>
          <c:invertIfNegative val="0"/>
          <c:dPt>
            <c:idx val="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9-FD70-46F6-8B59-09F5DCD042CA}"/>
              </c:ext>
            </c:extLst>
          </c:dPt>
          <c:dLbls>
            <c:dLbl>
              <c:idx val="0"/>
              <c:spPr/>
              <c:txPr>
                <a:bodyPr wrap="square"/>
                <a:lstStyle/>
                <a:p>
                  <a:pPr>
                    <a:defRPr sz="800" b="0" strike="noStrike" spc="-1">
                      <a:solidFill>
                        <a:srgbClr val="000000"/>
                      </a:solidFill>
                      <a:latin typeface="Arial"/>
                    </a:defRPr>
                  </a:pPr>
                  <a:endParaRPr lang="cs-CZ"/>
                </a:p>
              </c:txPr>
              <c:dLblPos val="ctr"/>
              <c:showLegendKey val="0"/>
              <c:showVal val="0"/>
              <c:showCatName val="0"/>
              <c:showSerName val="0"/>
              <c:showPercent val="0"/>
              <c:showBubbleSize val="1"/>
              <c:separator>; </c:separator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FD70-46F6-8B59-09F5DCD042CA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/>
              <a:lstStyle/>
              <a:p>
                <a:pPr>
                  <a:defRPr sz="800" b="0" strike="noStrike" spc="-1">
                    <a:solidFill>
                      <a:srgbClr val="000000"/>
                    </a:solidFill>
                    <a:latin typeface="Arial"/>
                  </a:defRPr>
                </a:pPr>
                <a:endParaRPr lang="cs-CZ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1"/>
            <c:separator>; </c:separator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'[FirmyGPN241004.xlsx]PočetZam-agreg+GPN'!$B$3:$G$3</c:f>
              <c:strCache>
                <c:ptCount val="6"/>
                <c:pt idx="0">
                  <c:v>&lt; 50</c:v>
                </c:pt>
                <c:pt idx="1">
                  <c:v>50 - 99</c:v>
                </c:pt>
                <c:pt idx="2">
                  <c:v>100 - 249</c:v>
                </c:pt>
                <c:pt idx="3">
                  <c:v>250 - 499</c:v>
                </c:pt>
                <c:pt idx="4">
                  <c:v>500 - 999</c:v>
                </c:pt>
                <c:pt idx="5">
                  <c:v>&gt; 1000</c:v>
                </c:pt>
              </c:strCache>
            </c:strRef>
          </c:cat>
          <c:val>
            <c:numRef>
              <c:f>'[FirmyGPN241004.xlsx]PočetZam-agreg+GPN'!$B$7:$G$7</c:f>
              <c:numCache>
                <c:formatCode>General</c:formatCode>
                <c:ptCount val="6"/>
                <c:pt idx="0">
                  <c:v>0</c:v>
                </c:pt>
                <c:pt idx="1">
                  <c:v>2</c:v>
                </c:pt>
                <c:pt idx="2">
                  <c:v>20</c:v>
                </c:pt>
                <c:pt idx="3">
                  <c:v>6</c:v>
                </c:pt>
                <c:pt idx="4">
                  <c:v>4</c:v>
                </c:pt>
                <c:pt idx="5">
                  <c:v>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FD70-46F6-8B59-09F5DCD042CA}"/>
            </c:ext>
          </c:extLst>
        </c:ser>
        <c:ser>
          <c:idx val="4"/>
          <c:order val="4"/>
          <c:tx>
            <c:strRef>
              <c:f>'[FirmyGPN241004.xlsx]PočetZam-agreg+GPN'!$A$8</c:f>
              <c:strCache>
                <c:ptCount val="1"/>
                <c:pt idx="0">
                  <c:v>Dodavatel 3. řádu</c:v>
                </c:pt>
              </c:strCache>
            </c:strRef>
          </c:tx>
          <c:spPr>
            <a:solidFill>
              <a:srgbClr val="FFEBAB"/>
            </a:solidFill>
            <a:ln w="0"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/>
              <a:lstStyle/>
              <a:p>
                <a:pPr>
                  <a:defRPr sz="800" b="0" strike="noStrike" spc="-1">
                    <a:solidFill>
                      <a:srgbClr val="000000"/>
                    </a:solidFill>
                    <a:latin typeface="Arial"/>
                  </a:defRPr>
                </a:pPr>
                <a:endParaRPr lang="cs-CZ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1"/>
            <c:separator>; </c:separator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'[FirmyGPN241004.xlsx]PočetZam-agreg+GPN'!$B$3:$G$3</c:f>
              <c:strCache>
                <c:ptCount val="6"/>
                <c:pt idx="0">
                  <c:v>&lt; 50</c:v>
                </c:pt>
                <c:pt idx="1">
                  <c:v>50 - 99</c:v>
                </c:pt>
                <c:pt idx="2">
                  <c:v>100 - 249</c:v>
                </c:pt>
                <c:pt idx="3">
                  <c:v>250 - 499</c:v>
                </c:pt>
                <c:pt idx="4">
                  <c:v>500 - 999</c:v>
                </c:pt>
                <c:pt idx="5">
                  <c:v>&gt; 1000</c:v>
                </c:pt>
              </c:strCache>
            </c:strRef>
          </c:cat>
          <c:val>
            <c:numRef>
              <c:f>'[FirmyGPN241004.xlsx]PočetZam-agreg+GPN'!$B$8:$G$8</c:f>
              <c:numCache>
                <c:formatCode>General</c:formatCode>
                <c:ptCount val="6"/>
                <c:pt idx="0">
                  <c:v>1</c:v>
                </c:pt>
                <c:pt idx="1">
                  <c:v>12</c:v>
                </c:pt>
                <c:pt idx="2">
                  <c:v>15</c:v>
                </c:pt>
                <c:pt idx="3">
                  <c:v>6</c:v>
                </c:pt>
                <c:pt idx="4">
                  <c:v>3</c:v>
                </c:pt>
                <c:pt idx="5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B-FD70-46F6-8B59-09F5DCD042CA}"/>
            </c:ext>
          </c:extLst>
        </c:ser>
        <c:ser>
          <c:idx val="5"/>
          <c:order val="5"/>
          <c:tx>
            <c:strRef>
              <c:f>'[FirmyGPN241004.xlsx]PočetZam-agreg+GPN'!$A$9</c:f>
              <c:strCache>
                <c:ptCount val="1"/>
                <c:pt idx="0">
                  <c:v>Mimo GPN s přístupem na koncový trh</c:v>
                </c:pt>
              </c:strCache>
            </c:strRef>
          </c:tx>
          <c:spPr>
            <a:solidFill>
              <a:schemeClr val="tx2">
                <a:lumMod val="50000"/>
                <a:lumOff val="50000"/>
              </a:schemeClr>
            </a:solidFill>
            <a:ln w="0">
              <a:noFill/>
            </a:ln>
          </c:spPr>
          <c:invertIfNegative val="0"/>
          <c:dPt>
            <c:idx val="5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C-FD70-46F6-8B59-09F5DCD042CA}"/>
              </c:ext>
            </c:extLst>
          </c:dPt>
          <c:dLbls>
            <c:dLbl>
              <c:idx val="5"/>
              <c:spPr/>
              <c:txPr>
                <a:bodyPr wrap="square"/>
                <a:lstStyle/>
                <a:p>
                  <a:pPr>
                    <a:defRPr sz="800" b="0" strike="noStrike" spc="-1">
                      <a:solidFill>
                        <a:schemeClr val="tx1"/>
                      </a:solidFill>
                      <a:latin typeface="Arial"/>
                    </a:defRPr>
                  </a:pPr>
                  <a:endParaRPr lang="cs-CZ"/>
                </a:p>
              </c:txPr>
              <c:dLblPos val="ctr"/>
              <c:showLegendKey val="0"/>
              <c:showVal val="0"/>
              <c:showCatName val="0"/>
              <c:showSerName val="0"/>
              <c:showPercent val="0"/>
              <c:showBubbleSize val="1"/>
              <c:separator>; </c:separator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FD70-46F6-8B59-09F5DCD042CA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/>
              <a:lstStyle/>
              <a:p>
                <a:pPr>
                  <a:defRPr sz="800" b="0" strike="noStrike" spc="-1">
                    <a:solidFill>
                      <a:schemeClr val="tx1"/>
                    </a:solidFill>
                    <a:latin typeface="Arial"/>
                  </a:defRPr>
                </a:pPr>
                <a:endParaRPr lang="cs-CZ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1"/>
            <c:separator>; </c:separator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'[FirmyGPN241004.xlsx]PočetZam-agreg+GPN'!$B$3:$G$3</c:f>
              <c:strCache>
                <c:ptCount val="6"/>
                <c:pt idx="0">
                  <c:v>&lt; 50</c:v>
                </c:pt>
                <c:pt idx="1">
                  <c:v>50 - 99</c:v>
                </c:pt>
                <c:pt idx="2">
                  <c:v>100 - 249</c:v>
                </c:pt>
                <c:pt idx="3">
                  <c:v>250 - 499</c:v>
                </c:pt>
                <c:pt idx="4">
                  <c:v>500 - 999</c:v>
                </c:pt>
                <c:pt idx="5">
                  <c:v>&gt; 1000</c:v>
                </c:pt>
              </c:strCache>
            </c:strRef>
          </c:cat>
          <c:val>
            <c:numRef>
              <c:f>'[FirmyGPN241004.xlsx]PočetZam-agreg+GPN'!$B$9:$G$9</c:f>
              <c:numCache>
                <c:formatCode>General</c:formatCode>
                <c:ptCount val="6"/>
                <c:pt idx="0">
                  <c:v>8</c:v>
                </c:pt>
                <c:pt idx="1">
                  <c:v>38</c:v>
                </c:pt>
                <c:pt idx="2">
                  <c:v>24</c:v>
                </c:pt>
                <c:pt idx="3">
                  <c:v>2</c:v>
                </c:pt>
                <c:pt idx="4">
                  <c:v>1</c:v>
                </c:pt>
                <c:pt idx="5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D-FD70-46F6-8B59-09F5DCD042CA}"/>
            </c:ext>
          </c:extLst>
        </c:ser>
        <c:ser>
          <c:idx val="6"/>
          <c:order val="6"/>
          <c:tx>
            <c:strRef>
              <c:f>'[FirmyGPN241004.xlsx]PočetZam-agreg+GPN'!$A$10</c:f>
              <c:strCache>
                <c:ptCount val="1"/>
                <c:pt idx="0">
                  <c:v>Mimo GPN bez přístupu na koncový trh</c:v>
                </c:pt>
              </c:strCache>
            </c:strRef>
          </c:tx>
          <c:spPr>
            <a:solidFill>
              <a:schemeClr val="tx2">
                <a:lumMod val="25000"/>
                <a:lumOff val="75000"/>
              </a:schemeClr>
            </a:solidFill>
            <a:ln w="0">
              <a:noFill/>
            </a:ln>
          </c:spPr>
          <c:invertIfNegative val="0"/>
          <c:dPt>
            <c:idx val="3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E-FD70-46F6-8B59-09F5DCD042CA}"/>
              </c:ext>
            </c:extLst>
          </c:dPt>
          <c:dPt>
            <c:idx val="4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F-FD70-46F6-8B59-09F5DCD042CA}"/>
              </c:ext>
            </c:extLst>
          </c:dPt>
          <c:dPt>
            <c:idx val="5"/>
            <c:invertIfNegative val="0"/>
            <c:bubble3D val="0"/>
            <c:extLst>
              <c:ext xmlns:c16="http://schemas.microsoft.com/office/drawing/2014/chart" uri="{C3380CC4-5D6E-409C-BE32-E72D297353CC}">
                <c16:uniqueId val="{00000010-FD70-46F6-8B59-09F5DCD042CA}"/>
              </c:ext>
            </c:extLst>
          </c:dPt>
          <c:dLbls>
            <c:dLbl>
              <c:idx val="3"/>
              <c:spPr/>
              <c:txPr>
                <a:bodyPr wrap="square"/>
                <a:lstStyle/>
                <a:p>
                  <a:pPr>
                    <a:defRPr sz="800" b="0" strike="noStrike" spc="-1">
                      <a:solidFill>
                        <a:srgbClr val="000000"/>
                      </a:solidFill>
                      <a:latin typeface="Arial"/>
                    </a:defRPr>
                  </a:pPr>
                  <a:endParaRPr lang="cs-CZ"/>
                </a:p>
              </c:txPr>
              <c:dLblPos val="ctr"/>
              <c:showLegendKey val="0"/>
              <c:showVal val="0"/>
              <c:showCatName val="0"/>
              <c:showSerName val="0"/>
              <c:showPercent val="0"/>
              <c:showBubbleSize val="1"/>
              <c:separator>; </c:separator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E-FD70-46F6-8B59-09F5DCD042CA}"/>
                </c:ext>
              </c:extLst>
            </c:dLbl>
            <c:dLbl>
              <c:idx val="4"/>
              <c:spPr/>
              <c:txPr>
                <a:bodyPr wrap="square"/>
                <a:lstStyle/>
                <a:p>
                  <a:pPr>
                    <a:defRPr sz="800" b="0" strike="noStrike" spc="-1">
                      <a:solidFill>
                        <a:srgbClr val="000000"/>
                      </a:solidFill>
                      <a:latin typeface="Arial"/>
                    </a:defRPr>
                  </a:pPr>
                  <a:endParaRPr lang="cs-CZ"/>
                </a:p>
              </c:txPr>
              <c:dLblPos val="ctr"/>
              <c:showLegendKey val="0"/>
              <c:showVal val="0"/>
              <c:showCatName val="0"/>
              <c:showSerName val="0"/>
              <c:showPercent val="0"/>
              <c:showBubbleSize val="1"/>
              <c:separator>; </c:separator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F-FD70-46F6-8B59-09F5DCD042CA}"/>
                </c:ext>
              </c:extLst>
            </c:dLbl>
            <c:dLbl>
              <c:idx val="5"/>
              <c:spPr/>
              <c:txPr>
                <a:bodyPr wrap="square"/>
                <a:lstStyle/>
                <a:p>
                  <a:pPr>
                    <a:defRPr sz="800" b="0" strike="noStrike" spc="-1">
                      <a:solidFill>
                        <a:srgbClr val="000000"/>
                      </a:solidFill>
                      <a:latin typeface="Arial"/>
                    </a:defRPr>
                  </a:pPr>
                  <a:endParaRPr lang="cs-CZ"/>
                </a:p>
              </c:txPr>
              <c:dLblPos val="ctr"/>
              <c:showLegendKey val="0"/>
              <c:showVal val="0"/>
              <c:showCatName val="0"/>
              <c:showSerName val="0"/>
              <c:showPercent val="0"/>
              <c:showBubbleSize val="1"/>
              <c:separator>; </c:separator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0-FD70-46F6-8B59-09F5DCD042CA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/>
              <a:lstStyle/>
              <a:p>
                <a:pPr>
                  <a:defRPr sz="800" b="0" strike="noStrike" spc="-1">
                    <a:solidFill>
                      <a:srgbClr val="000000"/>
                    </a:solidFill>
                    <a:latin typeface="Arial"/>
                  </a:defRPr>
                </a:pPr>
                <a:endParaRPr lang="cs-CZ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1"/>
            <c:separator>; </c:separator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'[FirmyGPN241004.xlsx]PočetZam-agreg+GPN'!$B$3:$G$3</c:f>
              <c:strCache>
                <c:ptCount val="6"/>
                <c:pt idx="0">
                  <c:v>&lt; 50</c:v>
                </c:pt>
                <c:pt idx="1">
                  <c:v>50 - 99</c:v>
                </c:pt>
                <c:pt idx="2">
                  <c:v>100 - 249</c:v>
                </c:pt>
                <c:pt idx="3">
                  <c:v>250 - 499</c:v>
                </c:pt>
                <c:pt idx="4">
                  <c:v>500 - 999</c:v>
                </c:pt>
                <c:pt idx="5">
                  <c:v>&gt; 1000</c:v>
                </c:pt>
              </c:strCache>
            </c:strRef>
          </c:cat>
          <c:val>
            <c:numRef>
              <c:f>'[FirmyGPN241004.xlsx]PočetZam-agreg+GPN'!$B$10:$G$10</c:f>
              <c:numCache>
                <c:formatCode>General</c:formatCode>
                <c:ptCount val="6"/>
                <c:pt idx="0">
                  <c:v>4</c:v>
                </c:pt>
                <c:pt idx="1">
                  <c:v>17</c:v>
                </c:pt>
                <c:pt idx="2">
                  <c:v>8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1-FD70-46F6-8B59-09F5DCD042C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50"/>
        <c:overlap val="100"/>
        <c:axId val="54959799"/>
        <c:axId val="35058462"/>
      </c:barChart>
      <c:catAx>
        <c:axId val="54959799"/>
        <c:scaling>
          <c:orientation val="minMax"/>
        </c:scaling>
        <c:delete val="0"/>
        <c:axPos val="l"/>
        <c:numFmt formatCode="General" sourceLinked="0"/>
        <c:majorTickMark val="none"/>
        <c:minorTickMark val="none"/>
        <c:tickLblPos val="nextTo"/>
        <c:spPr>
          <a:ln w="9360">
            <a:solidFill>
              <a:srgbClr val="D9D9D9"/>
            </a:solidFill>
            <a:round/>
          </a:ln>
        </c:spPr>
        <c:txPr>
          <a:bodyPr/>
          <a:lstStyle/>
          <a:p>
            <a:pPr>
              <a:defRPr sz="900" b="0" strike="noStrike" spc="-1">
                <a:solidFill>
                  <a:srgbClr val="000000"/>
                </a:solidFill>
                <a:latin typeface="Arial"/>
              </a:defRPr>
            </a:pPr>
            <a:endParaRPr lang="cs-CZ"/>
          </a:p>
        </c:txPr>
        <c:crossAx val="35058462"/>
        <c:crosses val="autoZero"/>
        <c:auto val="1"/>
        <c:lblAlgn val="ctr"/>
        <c:lblOffset val="100"/>
        <c:noMultiLvlLbl val="0"/>
      </c:catAx>
      <c:valAx>
        <c:axId val="35058462"/>
        <c:scaling>
          <c:orientation val="minMax"/>
        </c:scaling>
        <c:delete val="0"/>
        <c:axPos val="b"/>
        <c:majorGridlines>
          <c:spPr>
            <a:ln w="9360">
              <a:solidFill>
                <a:srgbClr val="D9D9D9"/>
              </a:solidFill>
              <a:round/>
            </a:ln>
          </c:spPr>
        </c:majorGridlines>
        <c:numFmt formatCode="0%" sourceLinked="0"/>
        <c:majorTickMark val="none"/>
        <c:minorTickMark val="none"/>
        <c:tickLblPos val="nextTo"/>
        <c:spPr>
          <a:ln w="6480">
            <a:solidFill>
              <a:srgbClr val="E7E6E6"/>
            </a:solidFill>
            <a:round/>
          </a:ln>
        </c:spPr>
        <c:txPr>
          <a:bodyPr/>
          <a:lstStyle/>
          <a:p>
            <a:pPr>
              <a:defRPr sz="800" b="0" strike="noStrike" spc="-1">
                <a:solidFill>
                  <a:srgbClr val="000000"/>
                </a:solidFill>
                <a:latin typeface="Arial"/>
              </a:defRPr>
            </a:pPr>
            <a:endParaRPr lang="cs-CZ"/>
          </a:p>
        </c:txPr>
        <c:crossAx val="54959799"/>
        <c:crosses val="autoZero"/>
        <c:crossBetween val="between"/>
      </c:valAx>
      <c:spPr>
        <a:noFill/>
        <a:ln w="0">
          <a:noFill/>
        </a:ln>
      </c:spPr>
    </c:plotArea>
    <c:legend>
      <c:legendPos val="b"/>
      <c:layout>
        <c:manualLayout>
          <c:xMode val="edge"/>
          <c:yMode val="edge"/>
          <c:x val="0.74099999396014504"/>
          <c:y val="9.3725877485653294E-2"/>
          <c:w val="0.25900000603985501"/>
          <c:h val="0.8763003516965443"/>
        </c:manualLayout>
      </c:layout>
      <c:overlay val="0"/>
      <c:spPr>
        <a:noFill/>
        <a:ln w="0">
          <a:noFill/>
        </a:ln>
      </c:spPr>
      <c:txPr>
        <a:bodyPr/>
        <a:lstStyle/>
        <a:p>
          <a:pPr>
            <a:defRPr sz="900" b="0" strike="noStrike" spc="-1">
              <a:solidFill>
                <a:srgbClr val="000000"/>
              </a:solidFill>
              <a:latin typeface="Arial"/>
            </a:defRPr>
          </a:pPr>
          <a:endParaRPr lang="cs-CZ"/>
        </a:p>
      </c:txPr>
    </c:legend>
    <c:plotVisOnly val="1"/>
    <c:dispBlanksAs val="gap"/>
    <c:showDLblsOverMax val="1"/>
  </c:chart>
  <c:spPr>
    <a:solidFill>
      <a:srgbClr val="FFFFFF"/>
    </a:solidFill>
    <a:ln w="9360">
      <a:solidFill>
        <a:srgbClr val="D9D9D9"/>
      </a:solidFill>
      <a:round/>
    </a:ln>
  </c:sp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/>
          <a:lstStyle/>
          <a:p>
            <a:pPr>
              <a:defRPr lang="cs-CZ" sz="1050" b="1" strike="noStrike" spc="-1">
                <a:solidFill>
                  <a:srgbClr val="000000"/>
                </a:solidFill>
                <a:latin typeface="Arial"/>
              </a:defRPr>
            </a:pPr>
            <a:r>
              <a:rPr lang="cs-CZ" sz="1050" b="1" strike="noStrike" spc="-1">
                <a:solidFill>
                  <a:srgbClr val="000000"/>
                </a:solidFill>
                <a:latin typeface="Arial"/>
              </a:rPr>
              <a:t>Graf 20: Postavení subjektů v GPN podle odvětví</a:t>
            </a:r>
            <a:r>
              <a:rPr lang="cs-CZ" sz="1050" b="1" strike="noStrike" spc="-1" baseline="0">
                <a:solidFill>
                  <a:srgbClr val="000000"/>
                </a:solidFill>
                <a:latin typeface="Arial"/>
              </a:rPr>
              <a:t> dle NACE</a:t>
            </a:r>
            <a:endParaRPr lang="cs-CZ" sz="1050" b="1" strike="noStrike" spc="-1">
              <a:solidFill>
                <a:srgbClr val="000000"/>
              </a:solidFill>
              <a:latin typeface="Arial"/>
            </a:endParaRPr>
          </a:p>
        </c:rich>
      </c:tx>
      <c:layout>
        <c:manualLayout>
          <c:xMode val="edge"/>
          <c:yMode val="edge"/>
          <c:x val="0.17833192338560988"/>
          <c:y val="1.5761878962755518E-3"/>
        </c:manualLayout>
      </c:layout>
      <c:overlay val="0"/>
      <c:spPr>
        <a:noFill/>
        <a:ln w="0">
          <a:noFill/>
        </a:ln>
      </c:spPr>
    </c:title>
    <c:autoTitleDeleted val="0"/>
    <c:plotArea>
      <c:layout>
        <c:manualLayout>
          <c:layoutTarget val="inner"/>
          <c:xMode val="edge"/>
          <c:yMode val="edge"/>
          <c:x val="0.27511247044532655"/>
          <c:y val="8.6831841393076259E-2"/>
          <c:w val="0.49448228888744278"/>
          <c:h val="0.86107323931378854"/>
        </c:manualLayout>
      </c:layout>
      <c:barChart>
        <c:barDir val="bar"/>
        <c:grouping val="stacked"/>
        <c:varyColors val="0"/>
        <c:ser>
          <c:idx val="0"/>
          <c:order val="0"/>
          <c:tx>
            <c:strRef>
              <c:f>'[FirmyGPN241004.xlsx]NACE-GPN'!$O$3</c:f>
              <c:strCache>
                <c:ptCount val="1"/>
                <c:pt idx="0">
                  <c:v>Vedoucí firma (integrátor)</c:v>
                </c:pt>
              </c:strCache>
            </c:strRef>
          </c:tx>
          <c:spPr>
            <a:solidFill>
              <a:srgbClr val="FF5050"/>
            </a:solidFill>
          </c:spPr>
          <c:invertIfNegative val="0"/>
          <c:dLbls>
            <c:dLbl>
              <c:idx val="0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1E31-4011-A3DE-B1EA00A9D8FA}"/>
                </c:ext>
              </c:extLst>
            </c:dLbl>
            <c:dLbl>
              <c:idx val="1"/>
              <c:layout>
                <c:manualLayout>
                  <c:x val="0"/>
                  <c:y val="3.061436916030908E-7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3-1E31-4011-A3DE-B1EA00A9D8FA}"/>
                </c:ext>
              </c:extLst>
            </c:dLbl>
            <c:dLbl>
              <c:idx val="2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1E31-4011-A3DE-B1EA00A9D8FA}"/>
                </c:ext>
              </c:extLst>
            </c:dLbl>
            <c:dLbl>
              <c:idx val="3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1E31-4011-A3DE-B1EA00A9D8FA}"/>
                </c:ext>
              </c:extLst>
            </c:dLbl>
            <c:dLbl>
              <c:idx val="4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1E31-4011-A3DE-B1EA00A9D8FA}"/>
                </c:ext>
              </c:extLst>
            </c:dLbl>
            <c:dLbl>
              <c:idx val="5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1E31-4011-A3DE-B1EA00A9D8FA}"/>
                </c:ext>
              </c:extLst>
            </c:dLbl>
            <c:dLbl>
              <c:idx val="6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1E31-4011-A3DE-B1EA00A9D8FA}"/>
                </c:ext>
              </c:extLst>
            </c:dLbl>
            <c:dLbl>
              <c:idx val="8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1E31-4011-A3DE-B1EA00A9D8FA}"/>
                </c:ext>
              </c:extLst>
            </c:dLbl>
            <c:dLbl>
              <c:idx val="9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1E31-4011-A3DE-B1EA00A9D8FA}"/>
                </c:ext>
              </c:extLst>
            </c:dLbl>
            <c:dLbl>
              <c:idx val="10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1E31-4011-A3DE-B1EA00A9D8FA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00">
                    <a:latin typeface="Arial" panose="020B0604020202020204" pitchFamily="34" charset="0"/>
                    <a:cs typeface="Arial" panose="020B0604020202020204" pitchFamily="34" charset="0"/>
                  </a:defRPr>
                </a:pPr>
                <a:endParaRPr lang="cs-CZ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'[FirmyGPN241004.xlsx]NACE-GPN'!$N$4:$N$14</c:f>
              <c:strCache>
                <c:ptCount val="11"/>
                <c:pt idx="0">
                  <c:v>Kovovýroba</c:v>
                </c:pt>
                <c:pt idx="1">
                  <c:v>Strojírenství</c:v>
                </c:pt>
                <c:pt idx="2">
                  <c:v>Plastikářství</c:v>
                </c:pt>
                <c:pt idx="3">
                  <c:v>Elektrotechnický průmysl</c:v>
                </c:pt>
                <c:pt idx="4">
                  <c:v>Automotiv</c:v>
                </c:pt>
                <c:pt idx="5">
                  <c:v>Výroba minerálních výrobků</c:v>
                </c:pt>
                <c:pt idx="6">
                  <c:v>Elektronický průmysl</c:v>
                </c:pt>
                <c:pt idx="7">
                  <c:v>Ostatní dopravní prostředky</c:v>
                </c:pt>
                <c:pt idx="8">
                  <c:v>Chemický průmysl</c:v>
                </c:pt>
                <c:pt idx="9">
                  <c:v>Ostatní (pro zdravotnictví)</c:v>
                </c:pt>
                <c:pt idx="10">
                  <c:v>Hutnictví</c:v>
                </c:pt>
              </c:strCache>
            </c:strRef>
          </c:cat>
          <c:val>
            <c:numRef>
              <c:f>'[FirmyGPN241004.xlsx]NACE-GPN'!$O$4:$O$14</c:f>
              <c:numCache>
                <c:formatCode>General</c:formatCode>
                <c:ptCount val="11"/>
                <c:pt idx="0">
                  <c:v>0</c:v>
                </c:pt>
                <c:pt idx="1">
                  <c:v>2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1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9-1E31-4011-A3DE-B1EA00A9D8FA}"/>
            </c:ext>
          </c:extLst>
        </c:ser>
        <c:ser>
          <c:idx val="1"/>
          <c:order val="1"/>
          <c:tx>
            <c:strRef>
              <c:f>'[FirmyGPN241004.xlsx]NACE-GPN'!$P$3</c:f>
              <c:strCache>
                <c:ptCount val="1"/>
                <c:pt idx="0">
                  <c:v>Pobočka zahraniční vedoucí firmy</c:v>
                </c:pt>
              </c:strCache>
            </c:strRef>
          </c:tx>
          <c:spPr>
            <a:solidFill>
              <a:srgbClr val="FF7C80"/>
            </a:solidFill>
          </c:spPr>
          <c:invertIfNegative val="0"/>
          <c:dLbls>
            <c:dLbl>
              <c:idx val="3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1E31-4011-A3DE-B1EA00A9D8FA}"/>
                </c:ext>
              </c:extLst>
            </c:dLbl>
            <c:dLbl>
              <c:idx val="4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1E31-4011-A3DE-B1EA00A9D8FA}"/>
                </c:ext>
              </c:extLst>
            </c:dLbl>
            <c:dLbl>
              <c:idx val="7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1E31-4011-A3DE-B1EA00A9D8FA}"/>
                </c:ext>
              </c:extLst>
            </c:dLbl>
            <c:dLbl>
              <c:idx val="10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1E31-4011-A3DE-B1EA00A9D8FA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00">
                    <a:latin typeface="Arial" panose="020B0604020202020204" pitchFamily="34" charset="0"/>
                    <a:cs typeface="Arial" panose="020B0604020202020204" pitchFamily="34" charset="0"/>
                  </a:defRPr>
                </a:pPr>
                <a:endParaRPr lang="cs-CZ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'[FirmyGPN241004.xlsx]NACE-GPN'!$N$4:$N$14</c:f>
              <c:strCache>
                <c:ptCount val="11"/>
                <c:pt idx="0">
                  <c:v>Kovovýroba</c:v>
                </c:pt>
                <c:pt idx="1">
                  <c:v>Strojírenství</c:v>
                </c:pt>
                <c:pt idx="2">
                  <c:v>Plastikářství</c:v>
                </c:pt>
                <c:pt idx="3">
                  <c:v>Elektrotechnický průmysl</c:v>
                </c:pt>
                <c:pt idx="4">
                  <c:v>Automotiv</c:v>
                </c:pt>
                <c:pt idx="5">
                  <c:v>Výroba minerálních výrobků</c:v>
                </c:pt>
                <c:pt idx="6">
                  <c:v>Elektronický průmysl</c:v>
                </c:pt>
                <c:pt idx="7">
                  <c:v>Ostatní dopravní prostředky</c:v>
                </c:pt>
                <c:pt idx="8">
                  <c:v>Chemický průmysl</c:v>
                </c:pt>
                <c:pt idx="9">
                  <c:v>Ostatní (pro zdravotnictví)</c:v>
                </c:pt>
                <c:pt idx="10">
                  <c:v>Hutnictví</c:v>
                </c:pt>
              </c:strCache>
            </c:strRef>
          </c:cat>
          <c:val>
            <c:numRef>
              <c:f>'[FirmyGPN241004.xlsx]NACE-GPN'!$P$4:$P$14</c:f>
              <c:numCache>
                <c:formatCode>General</c:formatCode>
                <c:ptCount val="11"/>
                <c:pt idx="0">
                  <c:v>6</c:v>
                </c:pt>
                <c:pt idx="1">
                  <c:v>8</c:v>
                </c:pt>
                <c:pt idx="2">
                  <c:v>2</c:v>
                </c:pt>
                <c:pt idx="3">
                  <c:v>0</c:v>
                </c:pt>
                <c:pt idx="4">
                  <c:v>0</c:v>
                </c:pt>
                <c:pt idx="5">
                  <c:v>4</c:v>
                </c:pt>
                <c:pt idx="6">
                  <c:v>1</c:v>
                </c:pt>
                <c:pt idx="7">
                  <c:v>0</c:v>
                </c:pt>
                <c:pt idx="8">
                  <c:v>2</c:v>
                </c:pt>
                <c:pt idx="9">
                  <c:v>1</c:v>
                </c:pt>
                <c:pt idx="10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E-1E31-4011-A3DE-B1EA00A9D8FA}"/>
            </c:ext>
          </c:extLst>
        </c:ser>
        <c:ser>
          <c:idx val="2"/>
          <c:order val="2"/>
          <c:tx>
            <c:strRef>
              <c:f>'[FirmyGPN241004.xlsx]NACE-GPN'!$Q$3</c:f>
              <c:strCache>
                <c:ptCount val="1"/>
                <c:pt idx="0">
                  <c:v>Dodavatel 1. řádu</c:v>
                </c:pt>
              </c:strCache>
            </c:strRef>
          </c:tx>
          <c:spPr>
            <a:solidFill>
              <a:srgbClr val="FF9966"/>
            </a:solidFill>
          </c:spPr>
          <c:invertIfNegative val="0"/>
          <c:dLbls>
            <c:dLbl>
              <c:idx val="5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F-1E31-4011-A3DE-B1EA00A9D8FA}"/>
                </c:ext>
              </c:extLst>
            </c:dLbl>
            <c:dLbl>
              <c:idx val="6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0-1E31-4011-A3DE-B1EA00A9D8FA}"/>
                </c:ext>
              </c:extLst>
            </c:dLbl>
            <c:dLbl>
              <c:idx val="8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1-1E31-4011-A3DE-B1EA00A9D8FA}"/>
                </c:ext>
              </c:extLst>
            </c:dLbl>
            <c:dLbl>
              <c:idx val="9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2-1E31-4011-A3DE-B1EA00A9D8FA}"/>
                </c:ext>
              </c:extLst>
            </c:dLbl>
            <c:dLbl>
              <c:idx val="10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3-1E31-4011-A3DE-B1EA00A9D8FA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00">
                    <a:latin typeface="Arial" panose="020B0604020202020204" pitchFamily="34" charset="0"/>
                    <a:cs typeface="Arial" panose="020B0604020202020204" pitchFamily="34" charset="0"/>
                  </a:defRPr>
                </a:pPr>
                <a:endParaRPr lang="cs-CZ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'[FirmyGPN241004.xlsx]NACE-GPN'!$N$4:$N$14</c:f>
              <c:strCache>
                <c:ptCount val="11"/>
                <c:pt idx="0">
                  <c:v>Kovovýroba</c:v>
                </c:pt>
                <c:pt idx="1">
                  <c:v>Strojírenství</c:v>
                </c:pt>
                <c:pt idx="2">
                  <c:v>Plastikářství</c:v>
                </c:pt>
                <c:pt idx="3">
                  <c:v>Elektrotechnický průmysl</c:v>
                </c:pt>
                <c:pt idx="4">
                  <c:v>Automotiv</c:v>
                </c:pt>
                <c:pt idx="5">
                  <c:v>Výroba minerálních výrobků</c:v>
                </c:pt>
                <c:pt idx="6">
                  <c:v>Elektronický průmysl</c:v>
                </c:pt>
                <c:pt idx="7">
                  <c:v>Ostatní dopravní prostředky</c:v>
                </c:pt>
                <c:pt idx="8">
                  <c:v>Chemický průmysl</c:v>
                </c:pt>
                <c:pt idx="9">
                  <c:v>Ostatní (pro zdravotnictví)</c:v>
                </c:pt>
                <c:pt idx="10">
                  <c:v>Hutnictví</c:v>
                </c:pt>
              </c:strCache>
            </c:strRef>
          </c:cat>
          <c:val>
            <c:numRef>
              <c:f>'[FirmyGPN241004.xlsx]NACE-GPN'!$Q$4:$Q$14</c:f>
              <c:numCache>
                <c:formatCode>General</c:formatCode>
                <c:ptCount val="11"/>
                <c:pt idx="0">
                  <c:v>2</c:v>
                </c:pt>
                <c:pt idx="1">
                  <c:v>2</c:v>
                </c:pt>
                <c:pt idx="2">
                  <c:v>1</c:v>
                </c:pt>
                <c:pt idx="3">
                  <c:v>2</c:v>
                </c:pt>
                <c:pt idx="4">
                  <c:v>5</c:v>
                </c:pt>
                <c:pt idx="5">
                  <c:v>0</c:v>
                </c:pt>
                <c:pt idx="6">
                  <c:v>0</c:v>
                </c:pt>
                <c:pt idx="7">
                  <c:v>2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4-1E31-4011-A3DE-B1EA00A9D8FA}"/>
            </c:ext>
          </c:extLst>
        </c:ser>
        <c:ser>
          <c:idx val="3"/>
          <c:order val="3"/>
          <c:tx>
            <c:strRef>
              <c:f>'[FirmyGPN241004.xlsx]NACE-GPN'!$R$3</c:f>
              <c:strCache>
                <c:ptCount val="1"/>
                <c:pt idx="0">
                  <c:v>Dodavatel 2. řádu</c:v>
                </c:pt>
              </c:strCache>
            </c:strRef>
          </c:tx>
          <c:spPr>
            <a:solidFill>
              <a:srgbClr val="FFCC99"/>
            </a:solidFill>
          </c:spPr>
          <c:invertIfNegative val="0"/>
          <c:dLbls>
            <c:dLbl>
              <c:idx val="5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5-1E31-4011-A3DE-B1EA00A9D8FA}"/>
                </c:ext>
              </c:extLst>
            </c:dLbl>
            <c:dLbl>
              <c:idx val="8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6-1E31-4011-A3DE-B1EA00A9D8FA}"/>
                </c:ext>
              </c:extLst>
            </c:dLbl>
            <c:dLbl>
              <c:idx val="9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7-1E31-4011-A3DE-B1EA00A9D8FA}"/>
                </c:ext>
              </c:extLst>
            </c:dLbl>
            <c:dLbl>
              <c:idx val="10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8-1E31-4011-A3DE-B1EA00A9D8FA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00">
                    <a:latin typeface="Arial" panose="020B0604020202020204" pitchFamily="34" charset="0"/>
                    <a:cs typeface="Arial" panose="020B0604020202020204" pitchFamily="34" charset="0"/>
                  </a:defRPr>
                </a:pPr>
                <a:endParaRPr lang="cs-CZ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'[FirmyGPN241004.xlsx]NACE-GPN'!$N$4:$N$14</c:f>
              <c:strCache>
                <c:ptCount val="11"/>
                <c:pt idx="0">
                  <c:v>Kovovýroba</c:v>
                </c:pt>
                <c:pt idx="1">
                  <c:v>Strojírenství</c:v>
                </c:pt>
                <c:pt idx="2">
                  <c:v>Plastikářství</c:v>
                </c:pt>
                <c:pt idx="3">
                  <c:v>Elektrotechnický průmysl</c:v>
                </c:pt>
                <c:pt idx="4">
                  <c:v>Automotiv</c:v>
                </c:pt>
                <c:pt idx="5">
                  <c:v>Výroba minerálních výrobků</c:v>
                </c:pt>
                <c:pt idx="6">
                  <c:v>Elektronický průmysl</c:v>
                </c:pt>
                <c:pt idx="7">
                  <c:v>Ostatní dopravní prostředky</c:v>
                </c:pt>
                <c:pt idx="8">
                  <c:v>Chemický průmysl</c:v>
                </c:pt>
                <c:pt idx="9">
                  <c:v>Ostatní (pro zdravotnictví)</c:v>
                </c:pt>
                <c:pt idx="10">
                  <c:v>Hutnictví</c:v>
                </c:pt>
              </c:strCache>
            </c:strRef>
          </c:cat>
          <c:val>
            <c:numRef>
              <c:f>'[FirmyGPN241004.xlsx]NACE-GPN'!$R$4:$R$14</c:f>
              <c:numCache>
                <c:formatCode>General</c:formatCode>
                <c:ptCount val="11"/>
                <c:pt idx="0">
                  <c:v>8</c:v>
                </c:pt>
                <c:pt idx="1">
                  <c:v>5</c:v>
                </c:pt>
                <c:pt idx="2">
                  <c:v>5</c:v>
                </c:pt>
                <c:pt idx="3">
                  <c:v>8</c:v>
                </c:pt>
                <c:pt idx="4">
                  <c:v>9</c:v>
                </c:pt>
                <c:pt idx="5">
                  <c:v>0</c:v>
                </c:pt>
                <c:pt idx="6">
                  <c:v>1</c:v>
                </c:pt>
                <c:pt idx="7">
                  <c:v>1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9-1E31-4011-A3DE-B1EA00A9D8FA}"/>
            </c:ext>
          </c:extLst>
        </c:ser>
        <c:ser>
          <c:idx val="4"/>
          <c:order val="4"/>
          <c:tx>
            <c:strRef>
              <c:f>'[FirmyGPN241004.xlsx]NACE-GPN'!$S$3</c:f>
              <c:strCache>
                <c:ptCount val="1"/>
                <c:pt idx="0">
                  <c:v>Dodavatel 3. řádu</c:v>
                </c:pt>
              </c:strCache>
            </c:strRef>
          </c:tx>
          <c:spPr>
            <a:solidFill>
              <a:srgbClr val="FFEBAB"/>
            </a:solidFill>
          </c:spPr>
          <c:invertIfNegative val="0"/>
          <c:dLbls>
            <c:dLbl>
              <c:idx val="5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A-1E31-4011-A3DE-B1EA00A9D8FA}"/>
                </c:ext>
              </c:extLst>
            </c:dLbl>
            <c:dLbl>
              <c:idx val="9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B-1E31-4011-A3DE-B1EA00A9D8FA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00">
                    <a:latin typeface="Arial" panose="020B0604020202020204" pitchFamily="34" charset="0"/>
                    <a:cs typeface="Arial" panose="020B0604020202020204" pitchFamily="34" charset="0"/>
                  </a:defRPr>
                </a:pPr>
                <a:endParaRPr lang="cs-CZ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'[FirmyGPN241004.xlsx]NACE-GPN'!$N$4:$N$14</c:f>
              <c:strCache>
                <c:ptCount val="11"/>
                <c:pt idx="0">
                  <c:v>Kovovýroba</c:v>
                </c:pt>
                <c:pt idx="1">
                  <c:v>Strojírenství</c:v>
                </c:pt>
                <c:pt idx="2">
                  <c:v>Plastikářství</c:v>
                </c:pt>
                <c:pt idx="3">
                  <c:v>Elektrotechnický průmysl</c:v>
                </c:pt>
                <c:pt idx="4">
                  <c:v>Automotiv</c:v>
                </c:pt>
                <c:pt idx="5">
                  <c:v>Výroba minerálních výrobků</c:v>
                </c:pt>
                <c:pt idx="6">
                  <c:v>Elektronický průmysl</c:v>
                </c:pt>
                <c:pt idx="7">
                  <c:v>Ostatní dopravní prostředky</c:v>
                </c:pt>
                <c:pt idx="8">
                  <c:v>Chemický průmysl</c:v>
                </c:pt>
                <c:pt idx="9">
                  <c:v>Ostatní (pro zdravotnictví)</c:v>
                </c:pt>
                <c:pt idx="10">
                  <c:v>Hutnictví</c:v>
                </c:pt>
              </c:strCache>
            </c:strRef>
          </c:cat>
          <c:val>
            <c:numRef>
              <c:f>'[FirmyGPN241004.xlsx]NACE-GPN'!$S$4:$S$14</c:f>
              <c:numCache>
                <c:formatCode>General</c:formatCode>
                <c:ptCount val="11"/>
                <c:pt idx="0">
                  <c:v>4</c:v>
                </c:pt>
                <c:pt idx="1">
                  <c:v>5</c:v>
                </c:pt>
                <c:pt idx="2">
                  <c:v>13</c:v>
                </c:pt>
                <c:pt idx="3">
                  <c:v>3</c:v>
                </c:pt>
                <c:pt idx="4">
                  <c:v>6</c:v>
                </c:pt>
                <c:pt idx="5">
                  <c:v>0</c:v>
                </c:pt>
                <c:pt idx="6">
                  <c:v>3</c:v>
                </c:pt>
                <c:pt idx="7">
                  <c:v>2</c:v>
                </c:pt>
                <c:pt idx="8">
                  <c:v>1</c:v>
                </c:pt>
                <c:pt idx="9">
                  <c:v>0</c:v>
                </c:pt>
                <c:pt idx="10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C-1E31-4011-A3DE-B1EA00A9D8FA}"/>
            </c:ext>
          </c:extLst>
        </c:ser>
        <c:ser>
          <c:idx val="5"/>
          <c:order val="5"/>
          <c:tx>
            <c:strRef>
              <c:f>'[FirmyGPN241004.xlsx]NACE-GPN'!$T$3</c:f>
              <c:strCache>
                <c:ptCount val="1"/>
                <c:pt idx="0">
                  <c:v>Mimo GPN s přístupem na koncový trh</c:v>
                </c:pt>
              </c:strCache>
            </c:strRef>
          </c:tx>
          <c:spPr>
            <a:solidFill>
              <a:schemeClr val="tx2">
                <a:lumMod val="50000"/>
                <a:lumOff val="50000"/>
              </a:schemeClr>
            </a:solidFill>
          </c:spPr>
          <c:invertIfNegative val="0"/>
          <c:dLbls>
            <c:dLbl>
              <c:idx val="7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D-1E31-4011-A3DE-B1EA00A9D8FA}"/>
                </c:ext>
              </c:extLst>
            </c:dLbl>
            <c:dLbl>
              <c:idx val="9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E-1E31-4011-A3DE-B1EA00A9D8FA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00">
                    <a:latin typeface="Arial" panose="020B0604020202020204" pitchFamily="34" charset="0"/>
                    <a:cs typeface="Arial" panose="020B0604020202020204" pitchFamily="34" charset="0"/>
                  </a:defRPr>
                </a:pPr>
                <a:endParaRPr lang="cs-CZ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'[FirmyGPN241004.xlsx]NACE-GPN'!$N$4:$N$14</c:f>
              <c:strCache>
                <c:ptCount val="11"/>
                <c:pt idx="0">
                  <c:v>Kovovýroba</c:v>
                </c:pt>
                <c:pt idx="1">
                  <c:v>Strojírenství</c:v>
                </c:pt>
                <c:pt idx="2">
                  <c:v>Plastikářství</c:v>
                </c:pt>
                <c:pt idx="3">
                  <c:v>Elektrotechnický průmysl</c:v>
                </c:pt>
                <c:pt idx="4">
                  <c:v>Automotiv</c:v>
                </c:pt>
                <c:pt idx="5">
                  <c:v>Výroba minerálních výrobků</c:v>
                </c:pt>
                <c:pt idx="6">
                  <c:v>Elektronický průmysl</c:v>
                </c:pt>
                <c:pt idx="7">
                  <c:v>Ostatní dopravní prostředky</c:v>
                </c:pt>
                <c:pt idx="8">
                  <c:v>Chemický průmysl</c:v>
                </c:pt>
                <c:pt idx="9">
                  <c:v>Ostatní (pro zdravotnictví)</c:v>
                </c:pt>
                <c:pt idx="10">
                  <c:v>Hutnictví</c:v>
                </c:pt>
              </c:strCache>
            </c:strRef>
          </c:cat>
          <c:val>
            <c:numRef>
              <c:f>'[FirmyGPN241004.xlsx]NACE-GPN'!$T$4:$T$14</c:f>
              <c:numCache>
                <c:formatCode>General</c:formatCode>
                <c:ptCount val="11"/>
                <c:pt idx="0">
                  <c:v>27</c:v>
                </c:pt>
                <c:pt idx="1">
                  <c:v>15</c:v>
                </c:pt>
                <c:pt idx="2">
                  <c:v>7</c:v>
                </c:pt>
                <c:pt idx="3">
                  <c:v>9</c:v>
                </c:pt>
                <c:pt idx="4">
                  <c:v>1</c:v>
                </c:pt>
                <c:pt idx="5">
                  <c:v>8</c:v>
                </c:pt>
                <c:pt idx="6">
                  <c:v>3</c:v>
                </c:pt>
                <c:pt idx="7">
                  <c:v>0</c:v>
                </c:pt>
                <c:pt idx="8">
                  <c:v>2</c:v>
                </c:pt>
                <c:pt idx="9">
                  <c:v>0</c:v>
                </c:pt>
                <c:pt idx="10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F-1E31-4011-A3DE-B1EA00A9D8FA}"/>
            </c:ext>
          </c:extLst>
        </c:ser>
        <c:ser>
          <c:idx val="6"/>
          <c:order val="6"/>
          <c:tx>
            <c:strRef>
              <c:f>'[FirmyGPN241004.xlsx]NACE-GPN'!$U$3</c:f>
              <c:strCache>
                <c:ptCount val="1"/>
                <c:pt idx="0">
                  <c:v>Mimo GPN bez přístupu na koncový trh</c:v>
                </c:pt>
              </c:strCache>
            </c:strRef>
          </c:tx>
          <c:spPr>
            <a:solidFill>
              <a:schemeClr val="tx2">
                <a:lumMod val="25000"/>
                <a:lumOff val="75000"/>
              </a:schemeClr>
            </a:solidFill>
          </c:spPr>
          <c:invertIfNegative val="0"/>
          <c:dLbls>
            <c:dLbl>
              <c:idx val="7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0-1E31-4011-A3DE-B1EA00A9D8FA}"/>
                </c:ext>
              </c:extLst>
            </c:dLbl>
            <c:dLbl>
              <c:idx val="8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1-1E31-4011-A3DE-B1EA00A9D8FA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00">
                    <a:latin typeface="Arial" panose="020B0604020202020204" pitchFamily="34" charset="0"/>
                    <a:cs typeface="Arial" panose="020B0604020202020204" pitchFamily="34" charset="0"/>
                  </a:defRPr>
                </a:pPr>
                <a:endParaRPr lang="cs-CZ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'[FirmyGPN241004.xlsx]NACE-GPN'!$N$4:$N$14</c:f>
              <c:strCache>
                <c:ptCount val="11"/>
                <c:pt idx="0">
                  <c:v>Kovovýroba</c:v>
                </c:pt>
                <c:pt idx="1">
                  <c:v>Strojírenství</c:v>
                </c:pt>
                <c:pt idx="2">
                  <c:v>Plastikářství</c:v>
                </c:pt>
                <c:pt idx="3">
                  <c:v>Elektrotechnický průmysl</c:v>
                </c:pt>
                <c:pt idx="4">
                  <c:v>Automotiv</c:v>
                </c:pt>
                <c:pt idx="5">
                  <c:v>Výroba minerálních výrobků</c:v>
                </c:pt>
                <c:pt idx="6">
                  <c:v>Elektronický průmysl</c:v>
                </c:pt>
                <c:pt idx="7">
                  <c:v>Ostatní dopravní prostředky</c:v>
                </c:pt>
                <c:pt idx="8">
                  <c:v>Chemický průmysl</c:v>
                </c:pt>
                <c:pt idx="9">
                  <c:v>Ostatní (pro zdravotnictví)</c:v>
                </c:pt>
                <c:pt idx="10">
                  <c:v>Hutnictví</c:v>
                </c:pt>
              </c:strCache>
            </c:strRef>
          </c:cat>
          <c:val>
            <c:numRef>
              <c:f>'[FirmyGPN241004.xlsx]NACE-GPN'!$U$4:$U$14</c:f>
              <c:numCache>
                <c:formatCode>General</c:formatCode>
                <c:ptCount val="11"/>
                <c:pt idx="0">
                  <c:v>8</c:v>
                </c:pt>
                <c:pt idx="1">
                  <c:v>3</c:v>
                </c:pt>
                <c:pt idx="2">
                  <c:v>2</c:v>
                </c:pt>
                <c:pt idx="3">
                  <c:v>4</c:v>
                </c:pt>
                <c:pt idx="4">
                  <c:v>1</c:v>
                </c:pt>
                <c:pt idx="5">
                  <c:v>1</c:v>
                </c:pt>
                <c:pt idx="6">
                  <c:v>5</c:v>
                </c:pt>
                <c:pt idx="7">
                  <c:v>0</c:v>
                </c:pt>
                <c:pt idx="8">
                  <c:v>0</c:v>
                </c:pt>
                <c:pt idx="9">
                  <c:v>3</c:v>
                </c:pt>
                <c:pt idx="10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22-1E31-4011-A3DE-B1EA00A9D8FA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gapWidth val="50"/>
        <c:overlap val="100"/>
        <c:axId val="65210878"/>
        <c:axId val="5665289"/>
      </c:barChart>
      <c:catAx>
        <c:axId val="65210878"/>
        <c:scaling>
          <c:orientation val="maxMin"/>
        </c:scaling>
        <c:delete val="0"/>
        <c:axPos val="l"/>
        <c:numFmt formatCode="General" sourceLinked="0"/>
        <c:majorTickMark val="none"/>
        <c:minorTickMark val="none"/>
        <c:tickLblPos val="nextTo"/>
        <c:spPr>
          <a:ln w="9360">
            <a:solidFill>
              <a:srgbClr val="D9D9D9"/>
            </a:solidFill>
            <a:round/>
          </a:ln>
        </c:spPr>
        <c:txPr>
          <a:bodyPr/>
          <a:lstStyle/>
          <a:p>
            <a:pPr>
              <a:defRPr sz="900" b="0" strike="noStrike" spc="-1">
                <a:solidFill>
                  <a:srgbClr val="000000"/>
                </a:solidFill>
                <a:latin typeface="Arial"/>
              </a:defRPr>
            </a:pPr>
            <a:endParaRPr lang="cs-CZ"/>
          </a:p>
        </c:txPr>
        <c:crossAx val="5665289"/>
        <c:crosses val="autoZero"/>
        <c:auto val="1"/>
        <c:lblAlgn val="ctr"/>
        <c:lblOffset val="100"/>
        <c:noMultiLvlLbl val="0"/>
      </c:catAx>
      <c:valAx>
        <c:axId val="5665289"/>
        <c:scaling>
          <c:orientation val="minMax"/>
        </c:scaling>
        <c:delete val="0"/>
        <c:axPos val="b"/>
        <c:majorGridlines>
          <c:spPr>
            <a:ln w="9360">
              <a:solidFill>
                <a:srgbClr val="D9D9D9"/>
              </a:solidFill>
              <a:round/>
            </a:ln>
          </c:spPr>
        </c:majorGridlines>
        <c:numFmt formatCode="General" sourceLinked="0"/>
        <c:majorTickMark val="none"/>
        <c:minorTickMark val="none"/>
        <c:tickLblPos val="nextTo"/>
        <c:spPr>
          <a:ln w="6480">
            <a:solidFill>
              <a:srgbClr val="E7E6E6"/>
            </a:solidFill>
            <a:round/>
          </a:ln>
        </c:spPr>
        <c:txPr>
          <a:bodyPr/>
          <a:lstStyle/>
          <a:p>
            <a:pPr>
              <a:defRPr sz="800" b="0" strike="noStrike" spc="-1">
                <a:solidFill>
                  <a:srgbClr val="000000"/>
                </a:solidFill>
                <a:latin typeface="Arial"/>
              </a:defRPr>
            </a:pPr>
            <a:endParaRPr lang="cs-CZ"/>
          </a:p>
        </c:txPr>
        <c:crossAx val="65210878"/>
        <c:crosses val="max"/>
        <c:crossBetween val="between"/>
      </c:valAx>
      <c:spPr>
        <a:noFill/>
        <a:ln w="0">
          <a:noFill/>
        </a:ln>
      </c:spPr>
    </c:plotArea>
    <c:legend>
      <c:legendPos val="b"/>
      <c:layout>
        <c:manualLayout>
          <c:xMode val="edge"/>
          <c:yMode val="edge"/>
          <c:x val="0.76656870783714015"/>
          <c:y val="7.1648918528580491E-2"/>
          <c:w val="0.23101780872432268"/>
          <c:h val="0.89114011361098744"/>
        </c:manualLayout>
      </c:layout>
      <c:overlay val="0"/>
      <c:spPr>
        <a:noFill/>
        <a:ln w="0">
          <a:noFill/>
        </a:ln>
      </c:spPr>
      <c:txPr>
        <a:bodyPr/>
        <a:lstStyle/>
        <a:p>
          <a:pPr>
            <a:defRPr sz="900" b="0" strike="noStrike" spc="-1">
              <a:solidFill>
                <a:srgbClr val="000000"/>
              </a:solidFill>
              <a:latin typeface="Arial"/>
            </a:defRPr>
          </a:pPr>
          <a:endParaRPr lang="cs-CZ"/>
        </a:p>
      </c:txPr>
    </c:legend>
    <c:plotVisOnly val="1"/>
    <c:dispBlanksAs val="gap"/>
    <c:showDLblsOverMax val="1"/>
  </c:chart>
  <c:spPr>
    <a:solidFill>
      <a:srgbClr val="FFFFFF"/>
    </a:solidFill>
    <a:ln w="9360">
      <a:solidFill>
        <a:srgbClr val="D9D9D9"/>
      </a:solidFill>
      <a:round/>
    </a:ln>
  </c:sp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/>
          <a:lstStyle/>
          <a:p>
            <a:pPr>
              <a:defRPr lang="cs-CZ" sz="1050" b="1" strike="noStrike" spc="-1">
                <a:solidFill>
                  <a:srgbClr val="000000"/>
                </a:solidFill>
                <a:latin typeface="Arial"/>
              </a:defRPr>
            </a:pPr>
            <a:r>
              <a:rPr lang="cs-CZ" sz="1050" b="1" strike="noStrike" spc="-1">
                <a:solidFill>
                  <a:srgbClr val="000000"/>
                </a:solidFill>
                <a:latin typeface="Arial"/>
              </a:rPr>
              <a:t>Graf 21: Postavení subjektů v GPN podle klastrů</a:t>
            </a:r>
          </a:p>
        </c:rich>
      </c:tx>
      <c:layout>
        <c:manualLayout>
          <c:xMode val="edge"/>
          <c:yMode val="edge"/>
          <c:x val="0.26869005010737296"/>
          <c:y val="3.1018478833225159E-3"/>
        </c:manualLayout>
      </c:layout>
      <c:overlay val="0"/>
      <c:spPr>
        <a:noFill/>
        <a:ln w="0">
          <a:noFill/>
        </a:ln>
      </c:spPr>
    </c:title>
    <c:autoTitleDeleted val="0"/>
    <c:plotArea>
      <c:layout>
        <c:manualLayout>
          <c:layoutTarget val="inner"/>
          <c:xMode val="edge"/>
          <c:yMode val="edge"/>
          <c:x val="0.27731629392971202"/>
          <c:y val="6.7391716976279992E-2"/>
          <c:w val="0.48695466188303682"/>
          <c:h val="0.86901672769130922"/>
        </c:manualLayout>
      </c:layout>
      <c:barChart>
        <c:barDir val="bar"/>
        <c:grouping val="stacked"/>
        <c:varyColors val="0"/>
        <c:ser>
          <c:idx val="0"/>
          <c:order val="0"/>
          <c:tx>
            <c:strRef>
              <c:f>'[FirmyGPN241004.xlsx]Clustery-GPN'!$B$2</c:f>
              <c:strCache>
                <c:ptCount val="1"/>
                <c:pt idx="0">
                  <c:v>Vedoucí firma (integrátor)</c:v>
                </c:pt>
              </c:strCache>
            </c:strRef>
          </c:tx>
          <c:spPr>
            <a:solidFill>
              <a:srgbClr val="FF5050"/>
            </a:solidFill>
            <a:ln w="0"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/>
              <a:lstStyle/>
              <a:p>
                <a:pPr>
                  <a:defRPr sz="800" b="0" strike="noStrike" spc="-1">
                    <a:solidFill>
                      <a:sysClr val="windowText" lastClr="000000"/>
                    </a:solidFill>
                    <a:latin typeface="Arial"/>
                  </a:defRPr>
                </a:pPr>
                <a:endParaRPr lang="cs-CZ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1"/>
            <c:separator>; </c:separator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'[FirmyGPN241004.xlsx]Clustery-GPN'!$A$3:$A$15</c:f>
              <c:strCache>
                <c:ptCount val="13"/>
                <c:pt idx="0">
                  <c:v>Automotiv</c:v>
                </c:pt>
                <c:pt idx="1">
                  <c:v>Výroba strojů a zařízení</c:v>
                </c:pt>
                <c:pt idx="2">
                  <c:v>Kovovýroba</c:v>
                </c:pt>
                <c:pt idx="3">
                  <c:v>Elektrotechnika</c:v>
                </c:pt>
                <c:pt idx="4">
                  <c:v>Stavebnictví</c:v>
                </c:pt>
                <c:pt idx="5">
                  <c:v>Ostatní dopravní prostředky</c:v>
                </c:pt>
                <c:pt idx="6">
                  <c:v>Plastikářství</c:v>
                </c:pt>
                <c:pt idx="7">
                  <c:v>Využití ve více oborech</c:v>
                </c:pt>
                <c:pt idx="8">
                  <c:v>Energetika</c:v>
                </c:pt>
                <c:pt idx="9">
                  <c:v>Potravinářství a gastronomie</c:v>
                </c:pt>
                <c:pt idx="10">
                  <c:v>Zdravotnictví</c:v>
                </c:pt>
                <c:pt idx="11">
                  <c:v>Chemický průmysl</c:v>
                </c:pt>
                <c:pt idx="12">
                  <c:v>Sklářství</c:v>
                </c:pt>
              </c:strCache>
            </c:strRef>
          </c:cat>
          <c:val>
            <c:numRef>
              <c:f>'[FirmyGPN241004.xlsx]Clustery-GPN'!$B$3:$B$15</c:f>
              <c:numCache>
                <c:formatCode>General</c:formatCode>
                <c:ptCount val="13"/>
                <c:pt idx="1">
                  <c:v>2</c:v>
                </c:pt>
                <c:pt idx="5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8B0-45B9-8BDB-AE55090132FC}"/>
            </c:ext>
          </c:extLst>
        </c:ser>
        <c:ser>
          <c:idx val="1"/>
          <c:order val="1"/>
          <c:tx>
            <c:strRef>
              <c:f>'[FirmyGPN241004.xlsx]Clustery-GPN'!$C$2</c:f>
              <c:strCache>
                <c:ptCount val="1"/>
                <c:pt idx="0">
                  <c:v>Pobočka zahraniční vedoucí firmy</c:v>
                </c:pt>
              </c:strCache>
            </c:strRef>
          </c:tx>
          <c:spPr>
            <a:solidFill>
              <a:srgbClr val="FF7C80"/>
            </a:solidFill>
            <a:ln w="0"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/>
              <a:lstStyle/>
              <a:p>
                <a:pPr>
                  <a:defRPr sz="800" b="0" strike="noStrike" spc="-1">
                    <a:solidFill>
                      <a:sysClr val="windowText" lastClr="000000"/>
                    </a:solidFill>
                    <a:latin typeface="Arial"/>
                  </a:defRPr>
                </a:pPr>
                <a:endParaRPr lang="cs-CZ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1"/>
            <c:separator>; </c:separator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'[FirmyGPN241004.xlsx]Clustery-GPN'!$A$3:$A$15</c:f>
              <c:strCache>
                <c:ptCount val="13"/>
                <c:pt idx="0">
                  <c:v>Automotiv</c:v>
                </c:pt>
                <c:pt idx="1">
                  <c:v>Výroba strojů a zařízení</c:v>
                </c:pt>
                <c:pt idx="2">
                  <c:v>Kovovýroba</c:v>
                </c:pt>
                <c:pt idx="3">
                  <c:v>Elektrotechnika</c:v>
                </c:pt>
                <c:pt idx="4">
                  <c:v>Stavebnictví</c:v>
                </c:pt>
                <c:pt idx="5">
                  <c:v>Ostatní dopravní prostředky</c:v>
                </c:pt>
                <c:pt idx="6">
                  <c:v>Plastikářství</c:v>
                </c:pt>
                <c:pt idx="7">
                  <c:v>Využití ve více oborech</c:v>
                </c:pt>
                <c:pt idx="8">
                  <c:v>Energetika</c:v>
                </c:pt>
                <c:pt idx="9">
                  <c:v>Potravinářství a gastronomie</c:v>
                </c:pt>
                <c:pt idx="10">
                  <c:v>Zdravotnictví</c:v>
                </c:pt>
                <c:pt idx="11">
                  <c:v>Chemický průmysl</c:v>
                </c:pt>
                <c:pt idx="12">
                  <c:v>Sklářství</c:v>
                </c:pt>
              </c:strCache>
            </c:strRef>
          </c:cat>
          <c:val>
            <c:numRef>
              <c:f>'[FirmyGPN241004.xlsx]Clustery-GPN'!$C$3:$C$15</c:f>
              <c:numCache>
                <c:formatCode>General</c:formatCode>
                <c:ptCount val="13"/>
                <c:pt idx="0">
                  <c:v>1</c:v>
                </c:pt>
                <c:pt idx="1">
                  <c:v>4</c:v>
                </c:pt>
                <c:pt idx="2">
                  <c:v>2</c:v>
                </c:pt>
                <c:pt idx="4">
                  <c:v>6</c:v>
                </c:pt>
                <c:pt idx="8">
                  <c:v>3</c:v>
                </c:pt>
                <c:pt idx="9">
                  <c:v>4</c:v>
                </c:pt>
                <c:pt idx="10">
                  <c:v>1</c:v>
                </c:pt>
                <c:pt idx="11">
                  <c:v>1</c:v>
                </c:pt>
                <c:pt idx="12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68B0-45B9-8BDB-AE55090132FC}"/>
            </c:ext>
          </c:extLst>
        </c:ser>
        <c:ser>
          <c:idx val="2"/>
          <c:order val="2"/>
          <c:tx>
            <c:strRef>
              <c:f>'[FirmyGPN241004.xlsx]Clustery-GPN'!$D$2</c:f>
              <c:strCache>
                <c:ptCount val="1"/>
                <c:pt idx="0">
                  <c:v>Dodavatel 1. řádu</c:v>
                </c:pt>
              </c:strCache>
            </c:strRef>
          </c:tx>
          <c:spPr>
            <a:solidFill>
              <a:srgbClr val="FF9966"/>
            </a:solidFill>
            <a:ln w="0"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/>
              <a:lstStyle/>
              <a:p>
                <a:pPr>
                  <a:defRPr sz="800" b="0" strike="noStrike" spc="-1">
                    <a:solidFill>
                      <a:srgbClr val="000000"/>
                    </a:solidFill>
                    <a:latin typeface="Arial"/>
                  </a:defRPr>
                </a:pPr>
                <a:endParaRPr lang="cs-CZ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1"/>
            <c:separator>; </c:separator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'[FirmyGPN241004.xlsx]Clustery-GPN'!$A$3:$A$15</c:f>
              <c:strCache>
                <c:ptCount val="13"/>
                <c:pt idx="0">
                  <c:v>Automotiv</c:v>
                </c:pt>
                <c:pt idx="1">
                  <c:v>Výroba strojů a zařízení</c:v>
                </c:pt>
                <c:pt idx="2">
                  <c:v>Kovovýroba</c:v>
                </c:pt>
                <c:pt idx="3">
                  <c:v>Elektrotechnika</c:v>
                </c:pt>
                <c:pt idx="4">
                  <c:v>Stavebnictví</c:v>
                </c:pt>
                <c:pt idx="5">
                  <c:v>Ostatní dopravní prostředky</c:v>
                </c:pt>
                <c:pt idx="6">
                  <c:v>Plastikářství</c:v>
                </c:pt>
                <c:pt idx="7">
                  <c:v>Využití ve více oborech</c:v>
                </c:pt>
                <c:pt idx="8">
                  <c:v>Energetika</c:v>
                </c:pt>
                <c:pt idx="9">
                  <c:v>Potravinářství a gastronomie</c:v>
                </c:pt>
                <c:pt idx="10">
                  <c:v>Zdravotnictví</c:v>
                </c:pt>
                <c:pt idx="11">
                  <c:v>Chemický průmysl</c:v>
                </c:pt>
                <c:pt idx="12">
                  <c:v>Sklářství</c:v>
                </c:pt>
              </c:strCache>
            </c:strRef>
          </c:cat>
          <c:val>
            <c:numRef>
              <c:f>'[FirmyGPN241004.xlsx]Clustery-GPN'!$D$3:$D$15</c:f>
              <c:numCache>
                <c:formatCode>General</c:formatCode>
                <c:ptCount val="13"/>
                <c:pt idx="0">
                  <c:v>6</c:v>
                </c:pt>
                <c:pt idx="2">
                  <c:v>1</c:v>
                </c:pt>
                <c:pt idx="3">
                  <c:v>1</c:v>
                </c:pt>
                <c:pt idx="5">
                  <c:v>4</c:v>
                </c:pt>
                <c:pt idx="6">
                  <c:v>1</c:v>
                </c:pt>
                <c:pt idx="8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68B0-45B9-8BDB-AE55090132FC}"/>
            </c:ext>
          </c:extLst>
        </c:ser>
        <c:ser>
          <c:idx val="3"/>
          <c:order val="3"/>
          <c:tx>
            <c:strRef>
              <c:f>'[FirmyGPN241004.xlsx]Clustery-GPN'!$E$2</c:f>
              <c:strCache>
                <c:ptCount val="1"/>
                <c:pt idx="0">
                  <c:v>Dodavatel 2. řádu</c:v>
                </c:pt>
              </c:strCache>
            </c:strRef>
          </c:tx>
          <c:spPr>
            <a:solidFill>
              <a:srgbClr val="FFCC99"/>
            </a:solidFill>
            <a:ln w="0"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/>
              <a:lstStyle/>
              <a:p>
                <a:pPr>
                  <a:defRPr sz="800" b="0" strike="noStrike" spc="-1">
                    <a:solidFill>
                      <a:srgbClr val="000000"/>
                    </a:solidFill>
                    <a:latin typeface="Arial"/>
                  </a:defRPr>
                </a:pPr>
                <a:endParaRPr lang="cs-CZ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1"/>
            <c:separator>; </c:separator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'[FirmyGPN241004.xlsx]Clustery-GPN'!$A$3:$A$15</c:f>
              <c:strCache>
                <c:ptCount val="13"/>
                <c:pt idx="0">
                  <c:v>Automotiv</c:v>
                </c:pt>
                <c:pt idx="1">
                  <c:v>Výroba strojů a zařízení</c:v>
                </c:pt>
                <c:pt idx="2">
                  <c:v>Kovovýroba</c:v>
                </c:pt>
                <c:pt idx="3">
                  <c:v>Elektrotechnika</c:v>
                </c:pt>
                <c:pt idx="4">
                  <c:v>Stavebnictví</c:v>
                </c:pt>
                <c:pt idx="5">
                  <c:v>Ostatní dopravní prostředky</c:v>
                </c:pt>
                <c:pt idx="6">
                  <c:v>Plastikářství</c:v>
                </c:pt>
                <c:pt idx="7">
                  <c:v>Využití ve více oborech</c:v>
                </c:pt>
                <c:pt idx="8">
                  <c:v>Energetika</c:v>
                </c:pt>
                <c:pt idx="9">
                  <c:v>Potravinářství a gastronomie</c:v>
                </c:pt>
                <c:pt idx="10">
                  <c:v>Zdravotnictví</c:v>
                </c:pt>
                <c:pt idx="11">
                  <c:v>Chemický průmysl</c:v>
                </c:pt>
                <c:pt idx="12">
                  <c:v>Sklářství</c:v>
                </c:pt>
              </c:strCache>
            </c:strRef>
          </c:cat>
          <c:val>
            <c:numRef>
              <c:f>'[FirmyGPN241004.xlsx]Clustery-GPN'!$E$3:$E$15</c:f>
              <c:numCache>
                <c:formatCode>General</c:formatCode>
                <c:ptCount val="13"/>
                <c:pt idx="0">
                  <c:v>16</c:v>
                </c:pt>
                <c:pt idx="1">
                  <c:v>5</c:v>
                </c:pt>
                <c:pt idx="3">
                  <c:v>8</c:v>
                </c:pt>
                <c:pt idx="4">
                  <c:v>1</c:v>
                </c:pt>
                <c:pt idx="5">
                  <c:v>4</c:v>
                </c:pt>
                <c:pt idx="6">
                  <c:v>1</c:v>
                </c:pt>
                <c:pt idx="7">
                  <c:v>1</c:v>
                </c:pt>
                <c:pt idx="8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68B0-45B9-8BDB-AE55090132FC}"/>
            </c:ext>
          </c:extLst>
        </c:ser>
        <c:ser>
          <c:idx val="4"/>
          <c:order val="4"/>
          <c:tx>
            <c:strRef>
              <c:f>'[FirmyGPN241004.xlsx]Clustery-GPN'!$F$2</c:f>
              <c:strCache>
                <c:ptCount val="1"/>
                <c:pt idx="0">
                  <c:v>Dodavatel 3. řádu</c:v>
                </c:pt>
              </c:strCache>
            </c:strRef>
          </c:tx>
          <c:spPr>
            <a:solidFill>
              <a:srgbClr val="FFEBAB"/>
            </a:solidFill>
            <a:ln w="0"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/>
              <a:lstStyle/>
              <a:p>
                <a:pPr>
                  <a:defRPr sz="800" b="0" strike="noStrike" spc="-1">
                    <a:solidFill>
                      <a:srgbClr val="000000"/>
                    </a:solidFill>
                    <a:latin typeface="Arial"/>
                  </a:defRPr>
                </a:pPr>
                <a:endParaRPr lang="cs-CZ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1"/>
            <c:separator>; </c:separator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'[FirmyGPN241004.xlsx]Clustery-GPN'!$A$3:$A$15</c:f>
              <c:strCache>
                <c:ptCount val="13"/>
                <c:pt idx="0">
                  <c:v>Automotiv</c:v>
                </c:pt>
                <c:pt idx="1">
                  <c:v>Výroba strojů a zařízení</c:v>
                </c:pt>
                <c:pt idx="2">
                  <c:v>Kovovýroba</c:v>
                </c:pt>
                <c:pt idx="3">
                  <c:v>Elektrotechnika</c:v>
                </c:pt>
                <c:pt idx="4">
                  <c:v>Stavebnictví</c:v>
                </c:pt>
                <c:pt idx="5">
                  <c:v>Ostatní dopravní prostředky</c:v>
                </c:pt>
                <c:pt idx="6">
                  <c:v>Plastikářství</c:v>
                </c:pt>
                <c:pt idx="7">
                  <c:v>Využití ve více oborech</c:v>
                </c:pt>
                <c:pt idx="8">
                  <c:v>Energetika</c:v>
                </c:pt>
                <c:pt idx="9">
                  <c:v>Potravinářství a gastronomie</c:v>
                </c:pt>
                <c:pt idx="10">
                  <c:v>Zdravotnictví</c:v>
                </c:pt>
                <c:pt idx="11">
                  <c:v>Chemický průmysl</c:v>
                </c:pt>
                <c:pt idx="12">
                  <c:v>Sklářství</c:v>
                </c:pt>
              </c:strCache>
            </c:strRef>
          </c:cat>
          <c:val>
            <c:numRef>
              <c:f>'[FirmyGPN241004.xlsx]Clustery-GPN'!$F$3:$F$15</c:f>
              <c:numCache>
                <c:formatCode>General</c:formatCode>
                <c:ptCount val="13"/>
                <c:pt idx="0">
                  <c:v>14</c:v>
                </c:pt>
                <c:pt idx="2">
                  <c:v>2</c:v>
                </c:pt>
                <c:pt idx="3">
                  <c:v>9</c:v>
                </c:pt>
                <c:pt idx="5">
                  <c:v>2</c:v>
                </c:pt>
                <c:pt idx="6">
                  <c:v>5</c:v>
                </c:pt>
                <c:pt idx="7">
                  <c:v>2</c:v>
                </c:pt>
                <c:pt idx="8">
                  <c:v>1</c:v>
                </c:pt>
                <c:pt idx="9">
                  <c:v>1</c:v>
                </c:pt>
                <c:pt idx="10">
                  <c:v>1</c:v>
                </c:pt>
                <c:pt idx="11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68B0-45B9-8BDB-AE55090132FC}"/>
            </c:ext>
          </c:extLst>
        </c:ser>
        <c:ser>
          <c:idx val="5"/>
          <c:order val="5"/>
          <c:tx>
            <c:strRef>
              <c:f>'[FirmyGPN241004.xlsx]Clustery-GPN'!$G$2</c:f>
              <c:strCache>
                <c:ptCount val="1"/>
                <c:pt idx="0">
                  <c:v>Mimo GPN s přístupem na koncový trh</c:v>
                </c:pt>
              </c:strCache>
            </c:strRef>
          </c:tx>
          <c:spPr>
            <a:solidFill>
              <a:schemeClr val="tx2">
                <a:lumMod val="50000"/>
                <a:lumOff val="50000"/>
              </a:schemeClr>
            </a:solidFill>
            <a:ln w="0"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/>
              <a:lstStyle/>
              <a:p>
                <a:pPr>
                  <a:defRPr sz="800" b="0" strike="noStrike" spc="-1">
                    <a:solidFill>
                      <a:sysClr val="windowText" lastClr="000000"/>
                    </a:solidFill>
                    <a:latin typeface="Arial"/>
                  </a:defRPr>
                </a:pPr>
                <a:endParaRPr lang="cs-CZ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1"/>
            <c:separator>; </c:separator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'[FirmyGPN241004.xlsx]Clustery-GPN'!$A$3:$A$15</c:f>
              <c:strCache>
                <c:ptCount val="13"/>
                <c:pt idx="0">
                  <c:v>Automotiv</c:v>
                </c:pt>
                <c:pt idx="1">
                  <c:v>Výroba strojů a zařízení</c:v>
                </c:pt>
                <c:pt idx="2">
                  <c:v>Kovovýroba</c:v>
                </c:pt>
                <c:pt idx="3">
                  <c:v>Elektrotechnika</c:v>
                </c:pt>
                <c:pt idx="4">
                  <c:v>Stavebnictví</c:v>
                </c:pt>
                <c:pt idx="5">
                  <c:v>Ostatní dopravní prostředky</c:v>
                </c:pt>
                <c:pt idx="6">
                  <c:v>Plastikářství</c:v>
                </c:pt>
                <c:pt idx="7">
                  <c:v>Využití ve více oborech</c:v>
                </c:pt>
                <c:pt idx="8">
                  <c:v>Energetika</c:v>
                </c:pt>
                <c:pt idx="9">
                  <c:v>Potravinářství a gastronomie</c:v>
                </c:pt>
                <c:pt idx="10">
                  <c:v>Zdravotnictví</c:v>
                </c:pt>
                <c:pt idx="11">
                  <c:v>Chemický průmysl</c:v>
                </c:pt>
                <c:pt idx="12">
                  <c:v>Sklářství</c:v>
                </c:pt>
              </c:strCache>
            </c:strRef>
          </c:cat>
          <c:val>
            <c:numRef>
              <c:f>'[FirmyGPN241004.xlsx]Clustery-GPN'!$G$3:$G$15</c:f>
              <c:numCache>
                <c:formatCode>General</c:formatCode>
                <c:ptCount val="13"/>
                <c:pt idx="0">
                  <c:v>1</c:v>
                </c:pt>
                <c:pt idx="1">
                  <c:v>20</c:v>
                </c:pt>
                <c:pt idx="2">
                  <c:v>21</c:v>
                </c:pt>
                <c:pt idx="3">
                  <c:v>5</c:v>
                </c:pt>
                <c:pt idx="4">
                  <c:v>8</c:v>
                </c:pt>
                <c:pt idx="5">
                  <c:v>1</c:v>
                </c:pt>
                <c:pt idx="6">
                  <c:v>5</c:v>
                </c:pt>
                <c:pt idx="7">
                  <c:v>7</c:v>
                </c:pt>
                <c:pt idx="8">
                  <c:v>3</c:v>
                </c:pt>
                <c:pt idx="9">
                  <c:v>1</c:v>
                </c:pt>
                <c:pt idx="11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68B0-45B9-8BDB-AE55090132FC}"/>
            </c:ext>
          </c:extLst>
        </c:ser>
        <c:ser>
          <c:idx val="6"/>
          <c:order val="6"/>
          <c:tx>
            <c:strRef>
              <c:f>'[FirmyGPN241004.xlsx]Clustery-GPN'!$H$2</c:f>
              <c:strCache>
                <c:ptCount val="1"/>
                <c:pt idx="0">
                  <c:v>Mimo GPN bez přístupu na koncový trh</c:v>
                </c:pt>
              </c:strCache>
            </c:strRef>
          </c:tx>
          <c:spPr>
            <a:solidFill>
              <a:schemeClr val="tx2">
                <a:lumMod val="25000"/>
                <a:lumOff val="75000"/>
              </a:schemeClr>
            </a:solidFill>
            <a:ln w="0"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/>
              <a:lstStyle/>
              <a:p>
                <a:pPr>
                  <a:defRPr sz="800" b="0" strike="noStrike" spc="-1">
                    <a:solidFill>
                      <a:srgbClr val="000000"/>
                    </a:solidFill>
                    <a:latin typeface="Arial"/>
                  </a:defRPr>
                </a:pPr>
                <a:endParaRPr lang="cs-CZ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1"/>
            <c:separator>; </c:separator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'[FirmyGPN241004.xlsx]Clustery-GPN'!$A$3:$A$15</c:f>
              <c:strCache>
                <c:ptCount val="13"/>
                <c:pt idx="0">
                  <c:v>Automotiv</c:v>
                </c:pt>
                <c:pt idx="1">
                  <c:v>Výroba strojů a zařízení</c:v>
                </c:pt>
                <c:pt idx="2">
                  <c:v>Kovovýroba</c:v>
                </c:pt>
                <c:pt idx="3">
                  <c:v>Elektrotechnika</c:v>
                </c:pt>
                <c:pt idx="4">
                  <c:v>Stavebnictví</c:v>
                </c:pt>
                <c:pt idx="5">
                  <c:v>Ostatní dopravní prostředky</c:v>
                </c:pt>
                <c:pt idx="6">
                  <c:v>Plastikářství</c:v>
                </c:pt>
                <c:pt idx="7">
                  <c:v>Využití ve více oborech</c:v>
                </c:pt>
                <c:pt idx="8">
                  <c:v>Energetika</c:v>
                </c:pt>
                <c:pt idx="9">
                  <c:v>Potravinářství a gastronomie</c:v>
                </c:pt>
                <c:pt idx="10">
                  <c:v>Zdravotnictví</c:v>
                </c:pt>
                <c:pt idx="11">
                  <c:v>Chemický průmysl</c:v>
                </c:pt>
                <c:pt idx="12">
                  <c:v>Sklářství</c:v>
                </c:pt>
              </c:strCache>
            </c:strRef>
          </c:cat>
          <c:val>
            <c:numRef>
              <c:f>'[FirmyGPN241004.xlsx]Clustery-GPN'!$H$3:$H$15</c:f>
              <c:numCache>
                <c:formatCode>General</c:formatCode>
                <c:ptCount val="13"/>
                <c:pt idx="1">
                  <c:v>7</c:v>
                </c:pt>
                <c:pt idx="2">
                  <c:v>9</c:v>
                </c:pt>
                <c:pt idx="3">
                  <c:v>5</c:v>
                </c:pt>
                <c:pt idx="4">
                  <c:v>3</c:v>
                </c:pt>
                <c:pt idx="7">
                  <c:v>1</c:v>
                </c:pt>
                <c:pt idx="9">
                  <c:v>1</c:v>
                </c:pt>
                <c:pt idx="10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68B0-45B9-8BDB-AE55090132F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50"/>
        <c:overlap val="100"/>
        <c:axId val="65210878"/>
        <c:axId val="5665289"/>
      </c:barChart>
      <c:catAx>
        <c:axId val="65210878"/>
        <c:scaling>
          <c:orientation val="maxMin"/>
        </c:scaling>
        <c:delete val="0"/>
        <c:axPos val="l"/>
        <c:numFmt formatCode="General" sourceLinked="0"/>
        <c:majorTickMark val="none"/>
        <c:minorTickMark val="none"/>
        <c:tickLblPos val="nextTo"/>
        <c:spPr>
          <a:ln w="9360">
            <a:solidFill>
              <a:srgbClr val="D9D9D9"/>
            </a:solidFill>
            <a:round/>
          </a:ln>
        </c:spPr>
        <c:txPr>
          <a:bodyPr/>
          <a:lstStyle/>
          <a:p>
            <a:pPr>
              <a:defRPr sz="900" b="0" strike="noStrike" spc="-1">
                <a:solidFill>
                  <a:srgbClr val="000000"/>
                </a:solidFill>
                <a:latin typeface="Arial"/>
              </a:defRPr>
            </a:pPr>
            <a:endParaRPr lang="cs-CZ"/>
          </a:p>
        </c:txPr>
        <c:crossAx val="5665289"/>
        <c:crosses val="autoZero"/>
        <c:auto val="1"/>
        <c:lblAlgn val="ctr"/>
        <c:lblOffset val="100"/>
        <c:noMultiLvlLbl val="0"/>
      </c:catAx>
      <c:valAx>
        <c:axId val="5665289"/>
        <c:scaling>
          <c:orientation val="minMax"/>
        </c:scaling>
        <c:delete val="0"/>
        <c:axPos val="b"/>
        <c:majorGridlines>
          <c:spPr>
            <a:ln w="9360">
              <a:solidFill>
                <a:srgbClr val="D9D9D9"/>
              </a:solidFill>
              <a:round/>
            </a:ln>
          </c:spPr>
        </c:majorGridlines>
        <c:numFmt formatCode="General" sourceLinked="0"/>
        <c:majorTickMark val="none"/>
        <c:minorTickMark val="none"/>
        <c:tickLblPos val="nextTo"/>
        <c:spPr>
          <a:ln w="6480">
            <a:solidFill>
              <a:srgbClr val="E7E6E6"/>
            </a:solidFill>
            <a:round/>
          </a:ln>
        </c:spPr>
        <c:txPr>
          <a:bodyPr/>
          <a:lstStyle/>
          <a:p>
            <a:pPr>
              <a:defRPr sz="800" b="0" strike="noStrike" spc="-1">
                <a:solidFill>
                  <a:srgbClr val="000000"/>
                </a:solidFill>
                <a:latin typeface="Arial"/>
              </a:defRPr>
            </a:pPr>
            <a:endParaRPr lang="cs-CZ"/>
          </a:p>
        </c:txPr>
        <c:crossAx val="65210878"/>
        <c:crosses val="max"/>
        <c:crossBetween val="between"/>
      </c:valAx>
      <c:spPr>
        <a:noFill/>
        <a:ln w="0">
          <a:noFill/>
        </a:ln>
      </c:spPr>
    </c:plotArea>
    <c:legend>
      <c:legendPos val="b"/>
      <c:layout>
        <c:manualLayout>
          <c:xMode val="edge"/>
          <c:yMode val="edge"/>
          <c:x val="0.76423213253874478"/>
          <c:y val="5.68144524313932E-2"/>
          <c:w val="0.23327474536657727"/>
          <c:h val="0.91285252446088094"/>
        </c:manualLayout>
      </c:layout>
      <c:overlay val="0"/>
      <c:spPr>
        <a:noFill/>
        <a:ln w="0">
          <a:noFill/>
        </a:ln>
      </c:spPr>
      <c:txPr>
        <a:bodyPr/>
        <a:lstStyle/>
        <a:p>
          <a:pPr>
            <a:defRPr sz="900" b="0" strike="noStrike" spc="-1">
              <a:solidFill>
                <a:srgbClr val="000000"/>
              </a:solidFill>
              <a:latin typeface="Arial"/>
            </a:defRPr>
          </a:pPr>
          <a:endParaRPr lang="cs-CZ"/>
        </a:p>
      </c:txPr>
    </c:legend>
    <c:plotVisOnly val="1"/>
    <c:dispBlanksAs val="gap"/>
    <c:showDLblsOverMax val="1"/>
  </c:chart>
  <c:spPr>
    <a:solidFill>
      <a:srgbClr val="FFFFFF"/>
    </a:solidFill>
    <a:ln w="9360">
      <a:solidFill>
        <a:srgbClr val="D9D9D9"/>
      </a:solidFill>
      <a:round/>
    </a:ln>
  </c:sp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/>
          <a:lstStyle/>
          <a:p>
            <a:pPr>
              <a:defRPr lang="cs-CZ" sz="1050" b="1" strike="noStrike" spc="-1">
                <a:solidFill>
                  <a:srgbClr val="000000"/>
                </a:solidFill>
                <a:latin typeface="Arial"/>
              </a:defRPr>
            </a:pPr>
            <a:r>
              <a:rPr lang="cs-CZ" sz="1050" b="1" strike="noStrike" spc="-1">
                <a:solidFill>
                  <a:srgbClr val="000000"/>
                </a:solidFill>
                <a:latin typeface="Arial"/>
              </a:rPr>
              <a:t>Graf 22: Subjekty s vlastním výzkumem podle vlastnictví a postavení v GPN</a:t>
            </a:r>
          </a:p>
        </c:rich>
      </c:tx>
      <c:layout>
        <c:manualLayout>
          <c:xMode val="edge"/>
          <c:yMode val="edge"/>
          <c:x val="0.12503880436588893"/>
          <c:y val="2.9714335500593539E-3"/>
        </c:manualLayout>
      </c:layout>
      <c:overlay val="0"/>
      <c:spPr>
        <a:noFill/>
        <a:ln w="0">
          <a:noFill/>
        </a:ln>
      </c:spPr>
    </c:title>
    <c:autoTitleDeleted val="0"/>
    <c:plotArea>
      <c:layout>
        <c:manualLayout>
          <c:layoutTarget val="inner"/>
          <c:xMode val="edge"/>
          <c:yMode val="edge"/>
          <c:x val="0.37699461135209744"/>
          <c:y val="0.21510802106372137"/>
          <c:w val="0.58941711963023546"/>
          <c:h val="0.71226812490670099"/>
        </c:manualLayout>
      </c:layout>
      <c:barChart>
        <c:barDir val="bar"/>
        <c:grouping val="stacked"/>
        <c:varyColors val="0"/>
        <c:ser>
          <c:idx val="0"/>
          <c:order val="0"/>
          <c:tx>
            <c:strRef>
              <c:f>[FirmyGPN241004.xlsx]Výzkum!$G$3</c:f>
              <c:strCache>
                <c:ptCount val="1"/>
                <c:pt idx="0">
                  <c:v>domácí s VaV</c:v>
                </c:pt>
              </c:strCache>
            </c:strRef>
          </c:tx>
          <c:spPr>
            <a:solidFill>
              <a:srgbClr val="4472C4"/>
            </a:solidFill>
            <a:ln w="0">
              <a:noFill/>
            </a:ln>
          </c:spPr>
          <c:invertIfNegative val="0"/>
          <c:dLbls>
            <c:dLbl>
              <c:idx val="2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971F-4CF3-9263-18303535A499}"/>
                </c:ext>
              </c:extLst>
            </c:dLbl>
            <c:dLbl>
              <c:idx val="3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971F-4CF3-9263-18303535A499}"/>
                </c:ext>
              </c:extLst>
            </c:dLbl>
            <c:dLbl>
              <c:idx val="5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971F-4CF3-9263-18303535A49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/>
              <a:lstStyle/>
              <a:p>
                <a:pPr>
                  <a:defRPr sz="800" b="0" strike="noStrike" spc="-1">
                    <a:solidFill>
                      <a:srgbClr val="000000"/>
                    </a:solidFill>
                    <a:latin typeface="Arial"/>
                  </a:defRPr>
                </a:pPr>
                <a:endParaRPr lang="cs-CZ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1"/>
            <c:separator>; </c:separator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[FirmyGPN241004.xlsx]Výzkum!$A$16:$A$21</c:f>
              <c:strCache>
                <c:ptCount val="6"/>
                <c:pt idx="0">
                  <c:v>Vedoucí firma (integrátor)</c:v>
                </c:pt>
                <c:pt idx="1">
                  <c:v>Dodavatel 1. řádu</c:v>
                </c:pt>
                <c:pt idx="2">
                  <c:v>Dodavatel 2. řádu</c:v>
                </c:pt>
                <c:pt idx="3">
                  <c:v>Dodavatel 3. řádu</c:v>
                </c:pt>
                <c:pt idx="4">
                  <c:v>Mimo GPN s přístupem na koncový trh</c:v>
                </c:pt>
                <c:pt idx="5">
                  <c:v>Mimo GPN bez přístupu na koncový trh</c:v>
                </c:pt>
              </c:strCache>
            </c:strRef>
          </c:cat>
          <c:val>
            <c:numRef>
              <c:f>[FirmyGPN241004.xlsx]Výzkum!$B$16:$B$21</c:f>
              <c:numCache>
                <c:formatCode>General</c:formatCode>
                <c:ptCount val="6"/>
                <c:pt idx="0">
                  <c:v>2</c:v>
                </c:pt>
                <c:pt idx="1">
                  <c:v>1</c:v>
                </c:pt>
                <c:pt idx="2">
                  <c:v>0</c:v>
                </c:pt>
                <c:pt idx="3">
                  <c:v>0</c:v>
                </c:pt>
                <c:pt idx="4">
                  <c:v>8</c:v>
                </c:pt>
                <c:pt idx="5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971F-4CF3-9263-18303535A499}"/>
            </c:ext>
          </c:extLst>
        </c:ser>
        <c:ser>
          <c:idx val="1"/>
          <c:order val="1"/>
          <c:tx>
            <c:strRef>
              <c:f>[FirmyGPN241004.xlsx]Výzkum!$G$4</c:f>
              <c:strCache>
                <c:ptCount val="1"/>
                <c:pt idx="0">
                  <c:v>domácí bez VaV</c:v>
                </c:pt>
              </c:strCache>
            </c:strRef>
          </c:tx>
          <c:spPr>
            <a:solidFill>
              <a:srgbClr val="9DC3E6"/>
            </a:solidFill>
            <a:ln w="0"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/>
              <a:lstStyle/>
              <a:p>
                <a:pPr>
                  <a:defRPr sz="800" b="0" strike="noStrike" spc="-1">
                    <a:solidFill>
                      <a:srgbClr val="000000"/>
                    </a:solidFill>
                    <a:latin typeface="Arial"/>
                  </a:defRPr>
                </a:pPr>
                <a:endParaRPr lang="cs-CZ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1"/>
            <c:separator>; </c:separator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[FirmyGPN241004.xlsx]Výzkum!$A$16:$A$21</c:f>
              <c:strCache>
                <c:ptCount val="6"/>
                <c:pt idx="0">
                  <c:v>Vedoucí firma (integrátor)</c:v>
                </c:pt>
                <c:pt idx="1">
                  <c:v>Dodavatel 1. řádu</c:v>
                </c:pt>
                <c:pt idx="2">
                  <c:v>Dodavatel 2. řádu</c:v>
                </c:pt>
                <c:pt idx="3">
                  <c:v>Dodavatel 3. řádu</c:v>
                </c:pt>
                <c:pt idx="4">
                  <c:v>Mimo GPN s přístupem na koncový trh</c:v>
                </c:pt>
                <c:pt idx="5">
                  <c:v>Mimo GPN bez přístupu na koncový trh</c:v>
                </c:pt>
              </c:strCache>
            </c:strRef>
          </c:cat>
          <c:val>
            <c:numRef>
              <c:f>[FirmyGPN241004.xlsx]Výzkum!$C$16:$C$21</c:f>
              <c:numCache>
                <c:formatCode>General</c:formatCode>
                <c:ptCount val="6"/>
                <c:pt idx="0">
                  <c:v>1</c:v>
                </c:pt>
                <c:pt idx="1">
                  <c:v>1</c:v>
                </c:pt>
                <c:pt idx="2">
                  <c:v>1</c:v>
                </c:pt>
                <c:pt idx="3">
                  <c:v>8</c:v>
                </c:pt>
                <c:pt idx="4">
                  <c:v>56</c:v>
                </c:pt>
                <c:pt idx="5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971F-4CF3-9263-18303535A499}"/>
            </c:ext>
          </c:extLst>
        </c:ser>
        <c:ser>
          <c:idx val="2"/>
          <c:order val="2"/>
          <c:tx>
            <c:strRef>
              <c:f>[FirmyGPN241004.xlsx]Výzkum!$G$5</c:f>
              <c:strCache>
                <c:ptCount val="1"/>
                <c:pt idx="0">
                  <c:v>zahraniční s VaV</c:v>
                </c:pt>
              </c:strCache>
            </c:strRef>
          </c:tx>
          <c:spPr>
            <a:solidFill>
              <a:srgbClr val="70AD47"/>
            </a:solidFill>
            <a:ln w="0">
              <a:noFill/>
            </a:ln>
          </c:spPr>
          <c:invertIfNegative val="0"/>
          <c:dLbls>
            <c:dLbl>
              <c:idx val="3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971F-4CF3-9263-18303535A49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/>
              <a:lstStyle/>
              <a:p>
                <a:pPr>
                  <a:defRPr sz="800" b="0" strike="noStrike" spc="-1">
                    <a:solidFill>
                      <a:srgbClr val="000000"/>
                    </a:solidFill>
                    <a:latin typeface="Arial"/>
                  </a:defRPr>
                </a:pPr>
                <a:endParaRPr lang="cs-CZ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1"/>
            <c:separator>; </c:separator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[FirmyGPN241004.xlsx]Výzkum!$A$16:$A$21</c:f>
              <c:strCache>
                <c:ptCount val="6"/>
                <c:pt idx="0">
                  <c:v>Vedoucí firma (integrátor)</c:v>
                </c:pt>
                <c:pt idx="1">
                  <c:v>Dodavatel 1. řádu</c:v>
                </c:pt>
                <c:pt idx="2">
                  <c:v>Dodavatel 2. řádu</c:v>
                </c:pt>
                <c:pt idx="3">
                  <c:v>Dodavatel 3. řádu</c:v>
                </c:pt>
                <c:pt idx="4">
                  <c:v>Mimo GPN s přístupem na koncový trh</c:v>
                </c:pt>
                <c:pt idx="5">
                  <c:v>Mimo GPN bez přístupu na koncový trh</c:v>
                </c:pt>
              </c:strCache>
            </c:strRef>
          </c:cat>
          <c:val>
            <c:numRef>
              <c:f>[FirmyGPN241004.xlsx]Výzkum!$E$16:$E$21</c:f>
              <c:numCache>
                <c:formatCode>General</c:formatCode>
                <c:ptCount val="6"/>
                <c:pt idx="0">
                  <c:v>1</c:v>
                </c:pt>
                <c:pt idx="1">
                  <c:v>2</c:v>
                </c:pt>
                <c:pt idx="2">
                  <c:v>2</c:v>
                </c:pt>
                <c:pt idx="3">
                  <c:v>0</c:v>
                </c:pt>
                <c:pt idx="4">
                  <c:v>2</c:v>
                </c:pt>
                <c:pt idx="5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971F-4CF3-9263-18303535A499}"/>
            </c:ext>
          </c:extLst>
        </c:ser>
        <c:ser>
          <c:idx val="3"/>
          <c:order val="3"/>
          <c:tx>
            <c:strRef>
              <c:f>[FirmyGPN241004.xlsx]Výzkum!$G$6</c:f>
              <c:strCache>
                <c:ptCount val="1"/>
                <c:pt idx="0">
                  <c:v>zahraniční bez VaV</c:v>
                </c:pt>
              </c:strCache>
            </c:strRef>
          </c:tx>
          <c:spPr>
            <a:solidFill>
              <a:srgbClr val="A9D18E"/>
            </a:solidFill>
            <a:ln w="0"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/>
              <a:lstStyle/>
              <a:p>
                <a:pPr>
                  <a:defRPr sz="800" b="0" strike="noStrike" spc="-1">
                    <a:solidFill>
                      <a:srgbClr val="000000"/>
                    </a:solidFill>
                    <a:latin typeface="Arial"/>
                  </a:defRPr>
                </a:pPr>
                <a:endParaRPr lang="cs-CZ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1"/>
            <c:separator>; </c:separator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[FirmyGPN241004.xlsx]Výzkum!$A$16:$A$21</c:f>
              <c:strCache>
                <c:ptCount val="6"/>
                <c:pt idx="0">
                  <c:v>Vedoucí firma (integrátor)</c:v>
                </c:pt>
                <c:pt idx="1">
                  <c:v>Dodavatel 1. řádu</c:v>
                </c:pt>
                <c:pt idx="2">
                  <c:v>Dodavatel 2. řádu</c:v>
                </c:pt>
                <c:pt idx="3">
                  <c:v>Dodavatel 3. řádu</c:v>
                </c:pt>
                <c:pt idx="4">
                  <c:v>Mimo GPN s přístupem na koncový trh</c:v>
                </c:pt>
                <c:pt idx="5">
                  <c:v>Mimo GPN bez přístupu na koncový trh</c:v>
                </c:pt>
              </c:strCache>
            </c:strRef>
          </c:cat>
          <c:val>
            <c:numRef>
              <c:f>[FirmyGPN241004.xlsx]Výzkum!$F$16:$F$21</c:f>
              <c:numCache>
                <c:formatCode>General</c:formatCode>
                <c:ptCount val="6"/>
                <c:pt idx="0">
                  <c:v>23</c:v>
                </c:pt>
                <c:pt idx="1">
                  <c:v>10</c:v>
                </c:pt>
                <c:pt idx="2">
                  <c:v>34</c:v>
                </c:pt>
                <c:pt idx="3">
                  <c:v>30</c:v>
                </c:pt>
                <c:pt idx="4">
                  <c:v>7</c:v>
                </c:pt>
                <c:pt idx="5">
                  <c:v>26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971F-4CF3-9263-18303535A49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50"/>
        <c:overlap val="100"/>
        <c:axId val="46757113"/>
        <c:axId val="68309327"/>
      </c:barChart>
      <c:catAx>
        <c:axId val="46757113"/>
        <c:scaling>
          <c:orientation val="maxMin"/>
        </c:scaling>
        <c:delete val="0"/>
        <c:axPos val="l"/>
        <c:numFmt formatCode="General" sourceLinked="0"/>
        <c:majorTickMark val="none"/>
        <c:minorTickMark val="none"/>
        <c:tickLblPos val="nextTo"/>
        <c:spPr>
          <a:ln w="9360">
            <a:solidFill>
              <a:srgbClr val="D9D9D9"/>
            </a:solidFill>
            <a:round/>
          </a:ln>
        </c:spPr>
        <c:txPr>
          <a:bodyPr/>
          <a:lstStyle/>
          <a:p>
            <a:pPr>
              <a:defRPr sz="800" b="0" strike="noStrike" spc="-1">
                <a:solidFill>
                  <a:srgbClr val="000000"/>
                </a:solidFill>
                <a:latin typeface="Arial"/>
              </a:defRPr>
            </a:pPr>
            <a:endParaRPr lang="cs-CZ"/>
          </a:p>
        </c:txPr>
        <c:crossAx val="68309327"/>
        <c:crosses val="autoZero"/>
        <c:auto val="1"/>
        <c:lblAlgn val="ctr"/>
        <c:lblOffset val="100"/>
        <c:noMultiLvlLbl val="0"/>
      </c:catAx>
      <c:valAx>
        <c:axId val="68309327"/>
        <c:scaling>
          <c:orientation val="minMax"/>
        </c:scaling>
        <c:delete val="0"/>
        <c:axPos val="b"/>
        <c:majorGridlines>
          <c:spPr>
            <a:ln w="9360">
              <a:solidFill>
                <a:srgbClr val="D9D9D9"/>
              </a:solidFill>
              <a:round/>
            </a:ln>
          </c:spPr>
        </c:majorGridlines>
        <c:numFmt formatCode="General" sourceLinked="0"/>
        <c:majorTickMark val="none"/>
        <c:minorTickMark val="none"/>
        <c:tickLblPos val="nextTo"/>
        <c:spPr>
          <a:ln w="6480">
            <a:solidFill>
              <a:srgbClr val="E7E6E6"/>
            </a:solidFill>
            <a:round/>
          </a:ln>
        </c:spPr>
        <c:txPr>
          <a:bodyPr/>
          <a:lstStyle/>
          <a:p>
            <a:pPr>
              <a:defRPr sz="800" b="0" strike="noStrike" spc="-1">
                <a:solidFill>
                  <a:srgbClr val="000000"/>
                </a:solidFill>
                <a:latin typeface="Arial"/>
              </a:defRPr>
            </a:pPr>
            <a:endParaRPr lang="cs-CZ"/>
          </a:p>
        </c:txPr>
        <c:crossAx val="46757113"/>
        <c:crosses val="max"/>
        <c:crossBetween val="between"/>
      </c:valAx>
      <c:spPr>
        <a:noFill/>
        <a:ln w="0">
          <a:noFill/>
        </a:ln>
      </c:spPr>
    </c:plotArea>
    <c:legend>
      <c:legendPos val="b"/>
      <c:layout>
        <c:manualLayout>
          <c:xMode val="edge"/>
          <c:yMode val="edge"/>
          <c:x val="0.12568972771533329"/>
          <c:y val="0.14509421821112267"/>
          <c:w val="0.73061774438989302"/>
          <c:h val="6.8729585885097699E-2"/>
        </c:manualLayout>
      </c:layout>
      <c:overlay val="0"/>
      <c:spPr>
        <a:noFill/>
        <a:ln w="0">
          <a:noFill/>
        </a:ln>
      </c:spPr>
      <c:txPr>
        <a:bodyPr/>
        <a:lstStyle/>
        <a:p>
          <a:pPr>
            <a:defRPr sz="900" b="0" strike="noStrike" spc="-1">
              <a:solidFill>
                <a:srgbClr val="000000"/>
              </a:solidFill>
              <a:latin typeface="Arial"/>
            </a:defRPr>
          </a:pPr>
          <a:endParaRPr lang="cs-CZ"/>
        </a:p>
      </c:txPr>
    </c:legend>
    <c:plotVisOnly val="1"/>
    <c:dispBlanksAs val="gap"/>
    <c:showDLblsOverMax val="1"/>
  </c:chart>
  <c:spPr>
    <a:solidFill>
      <a:srgbClr val="FFFFFF"/>
    </a:solidFill>
    <a:ln w="9360">
      <a:solidFill>
        <a:srgbClr val="D9D9D9"/>
      </a:solidFill>
      <a:round/>
    </a:ln>
  </c:spPr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05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cs-CZ" sz="1050" b="1" i="0" u="none" strike="noStrike" kern="1200" spc="0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Graf 23: Ekonomické subjekty podle sídla, vlastnictví a postavení v GPN</a:t>
            </a:r>
          </a:p>
        </c:rich>
      </c:tx>
      <c:layout>
        <c:manualLayout>
          <c:xMode val="edge"/>
          <c:yMode val="edge"/>
          <c:x val="0.12916892332902832"/>
          <c:y val="2.5987782917269876E-3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5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cs-CZ"/>
        </a:p>
      </c:txPr>
    </c:title>
    <c:autoTitleDeleted val="0"/>
    <c:plotArea>
      <c:layout>
        <c:manualLayout>
          <c:layoutTarget val="inner"/>
          <c:xMode val="edge"/>
          <c:yMode val="edge"/>
          <c:x val="4.0659572302806514E-2"/>
          <c:y val="6.7055777220672533E-2"/>
          <c:w val="0.71696958019136492"/>
          <c:h val="0.7064715228982027"/>
        </c:manualLayout>
      </c:layout>
      <c:barChart>
        <c:barDir val="col"/>
        <c:grouping val="stacked"/>
        <c:varyColors val="0"/>
        <c:ser>
          <c:idx val="0"/>
          <c:order val="0"/>
          <c:tx>
            <c:strRef>
              <c:f>Okresy!$A$3</c:f>
              <c:strCache>
                <c:ptCount val="1"/>
                <c:pt idx="0">
                  <c:v>Vedoucí firma (integrátor)</c:v>
                </c:pt>
              </c:strCache>
            </c:strRef>
          </c:tx>
          <c:spPr>
            <a:solidFill>
              <a:srgbClr val="FF505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bg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cs-CZ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Okresy!$B$1:$O$2</c:f>
              <c:multiLvlStrCache>
                <c:ptCount val="14"/>
                <c:lvl>
                  <c:pt idx="0">
                    <c:v>domácí</c:v>
                  </c:pt>
                  <c:pt idx="1">
                    <c:v>zahraniční</c:v>
                  </c:pt>
                  <c:pt idx="2">
                    <c:v>domácí</c:v>
                  </c:pt>
                  <c:pt idx="3">
                    <c:v>zahraniční</c:v>
                  </c:pt>
                  <c:pt idx="4">
                    <c:v>domácí</c:v>
                  </c:pt>
                  <c:pt idx="5">
                    <c:v>zahraniční</c:v>
                  </c:pt>
                  <c:pt idx="6">
                    <c:v>domácí</c:v>
                  </c:pt>
                  <c:pt idx="7">
                    <c:v>zahraniční</c:v>
                  </c:pt>
                  <c:pt idx="8">
                    <c:v>domácí</c:v>
                  </c:pt>
                  <c:pt idx="9">
                    <c:v>zahraniční</c:v>
                  </c:pt>
                  <c:pt idx="10">
                    <c:v>domácí</c:v>
                  </c:pt>
                  <c:pt idx="11">
                    <c:v>zahraniční</c:v>
                  </c:pt>
                  <c:pt idx="12">
                    <c:v>domácí</c:v>
                  </c:pt>
                  <c:pt idx="13">
                    <c:v>zahraniční</c:v>
                  </c:pt>
                </c:lvl>
                <c:lvl>
                  <c:pt idx="0">
                    <c:v>Plzeň - město</c:v>
                  </c:pt>
                  <c:pt idx="2">
                    <c:v>Plzeň - sever</c:v>
                  </c:pt>
                  <c:pt idx="4">
                    <c:v>Rokycany</c:v>
                  </c:pt>
                  <c:pt idx="6">
                    <c:v>Plzeň - jih</c:v>
                  </c:pt>
                  <c:pt idx="8">
                    <c:v>Klatovy</c:v>
                  </c:pt>
                  <c:pt idx="10">
                    <c:v>Domažlice</c:v>
                  </c:pt>
                  <c:pt idx="12">
                    <c:v>Tachov</c:v>
                  </c:pt>
                </c:lvl>
              </c:multiLvlStrCache>
            </c:multiLvlStrRef>
          </c:cat>
          <c:val>
            <c:numRef>
              <c:f>Okresy!$B$3:$O$3</c:f>
              <c:numCache>
                <c:formatCode>General</c:formatCode>
                <c:ptCount val="14"/>
                <c:pt idx="0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CC8-46A2-8702-1307F332DB08}"/>
            </c:ext>
          </c:extLst>
        </c:ser>
        <c:ser>
          <c:idx val="1"/>
          <c:order val="1"/>
          <c:tx>
            <c:strRef>
              <c:f>Okresy!$A$4</c:f>
              <c:strCache>
                <c:ptCount val="1"/>
                <c:pt idx="0">
                  <c:v>Pobočka zahraniční vedoucí firmy</c:v>
                </c:pt>
              </c:strCache>
            </c:strRef>
          </c:tx>
          <c:spPr>
            <a:solidFill>
              <a:srgbClr val="FF7C8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cs-CZ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Okresy!$B$1:$O$2</c:f>
              <c:multiLvlStrCache>
                <c:ptCount val="14"/>
                <c:lvl>
                  <c:pt idx="0">
                    <c:v>domácí</c:v>
                  </c:pt>
                  <c:pt idx="1">
                    <c:v>zahraniční</c:v>
                  </c:pt>
                  <c:pt idx="2">
                    <c:v>domácí</c:v>
                  </c:pt>
                  <c:pt idx="3">
                    <c:v>zahraniční</c:v>
                  </c:pt>
                  <c:pt idx="4">
                    <c:v>domácí</c:v>
                  </c:pt>
                  <c:pt idx="5">
                    <c:v>zahraniční</c:v>
                  </c:pt>
                  <c:pt idx="6">
                    <c:v>domácí</c:v>
                  </c:pt>
                  <c:pt idx="7">
                    <c:v>zahraniční</c:v>
                  </c:pt>
                  <c:pt idx="8">
                    <c:v>domácí</c:v>
                  </c:pt>
                  <c:pt idx="9">
                    <c:v>zahraniční</c:v>
                  </c:pt>
                  <c:pt idx="10">
                    <c:v>domácí</c:v>
                  </c:pt>
                  <c:pt idx="11">
                    <c:v>zahraniční</c:v>
                  </c:pt>
                  <c:pt idx="12">
                    <c:v>domácí</c:v>
                  </c:pt>
                  <c:pt idx="13">
                    <c:v>zahraniční</c:v>
                  </c:pt>
                </c:lvl>
                <c:lvl>
                  <c:pt idx="0">
                    <c:v>Plzeň - město</c:v>
                  </c:pt>
                  <c:pt idx="2">
                    <c:v>Plzeň - sever</c:v>
                  </c:pt>
                  <c:pt idx="4">
                    <c:v>Rokycany</c:v>
                  </c:pt>
                  <c:pt idx="6">
                    <c:v>Plzeň - jih</c:v>
                  </c:pt>
                  <c:pt idx="8">
                    <c:v>Klatovy</c:v>
                  </c:pt>
                  <c:pt idx="10">
                    <c:v>Domažlice</c:v>
                  </c:pt>
                  <c:pt idx="12">
                    <c:v>Tachov</c:v>
                  </c:pt>
                </c:lvl>
              </c:multiLvlStrCache>
            </c:multiLvlStrRef>
          </c:cat>
          <c:val>
            <c:numRef>
              <c:f>Okresy!$B$4:$O$4</c:f>
              <c:numCache>
                <c:formatCode>General</c:formatCode>
                <c:ptCount val="14"/>
                <c:pt idx="1">
                  <c:v>9</c:v>
                </c:pt>
                <c:pt idx="3">
                  <c:v>3</c:v>
                </c:pt>
                <c:pt idx="5">
                  <c:v>2</c:v>
                </c:pt>
                <c:pt idx="9">
                  <c:v>5</c:v>
                </c:pt>
                <c:pt idx="11">
                  <c:v>2</c:v>
                </c:pt>
                <c:pt idx="13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ACC8-46A2-8702-1307F332DB08}"/>
            </c:ext>
          </c:extLst>
        </c:ser>
        <c:ser>
          <c:idx val="2"/>
          <c:order val="2"/>
          <c:tx>
            <c:strRef>
              <c:f>Okresy!$A$5</c:f>
              <c:strCache>
                <c:ptCount val="1"/>
                <c:pt idx="0">
                  <c:v>Dodavatel 1. řádu</c:v>
                </c:pt>
              </c:strCache>
            </c:strRef>
          </c:tx>
          <c:spPr>
            <a:solidFill>
              <a:srgbClr val="FF9966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cs-CZ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Okresy!$B$1:$O$2</c:f>
              <c:multiLvlStrCache>
                <c:ptCount val="14"/>
                <c:lvl>
                  <c:pt idx="0">
                    <c:v>domácí</c:v>
                  </c:pt>
                  <c:pt idx="1">
                    <c:v>zahraniční</c:v>
                  </c:pt>
                  <c:pt idx="2">
                    <c:v>domácí</c:v>
                  </c:pt>
                  <c:pt idx="3">
                    <c:v>zahraniční</c:v>
                  </c:pt>
                  <c:pt idx="4">
                    <c:v>domácí</c:v>
                  </c:pt>
                  <c:pt idx="5">
                    <c:v>zahraniční</c:v>
                  </c:pt>
                  <c:pt idx="6">
                    <c:v>domácí</c:v>
                  </c:pt>
                  <c:pt idx="7">
                    <c:v>zahraniční</c:v>
                  </c:pt>
                  <c:pt idx="8">
                    <c:v>domácí</c:v>
                  </c:pt>
                  <c:pt idx="9">
                    <c:v>zahraniční</c:v>
                  </c:pt>
                  <c:pt idx="10">
                    <c:v>domácí</c:v>
                  </c:pt>
                  <c:pt idx="11">
                    <c:v>zahraniční</c:v>
                  </c:pt>
                  <c:pt idx="12">
                    <c:v>domácí</c:v>
                  </c:pt>
                  <c:pt idx="13">
                    <c:v>zahraniční</c:v>
                  </c:pt>
                </c:lvl>
                <c:lvl>
                  <c:pt idx="0">
                    <c:v>Plzeň - město</c:v>
                  </c:pt>
                  <c:pt idx="2">
                    <c:v>Plzeň - sever</c:v>
                  </c:pt>
                  <c:pt idx="4">
                    <c:v>Rokycany</c:v>
                  </c:pt>
                  <c:pt idx="6">
                    <c:v>Plzeň - jih</c:v>
                  </c:pt>
                  <c:pt idx="8">
                    <c:v>Klatovy</c:v>
                  </c:pt>
                  <c:pt idx="10">
                    <c:v>Domažlice</c:v>
                  </c:pt>
                  <c:pt idx="12">
                    <c:v>Tachov</c:v>
                  </c:pt>
                </c:lvl>
              </c:multiLvlStrCache>
            </c:multiLvlStrRef>
          </c:cat>
          <c:val>
            <c:numRef>
              <c:f>Okresy!$B$5:$O$5</c:f>
              <c:numCache>
                <c:formatCode>General</c:formatCode>
                <c:ptCount val="14"/>
                <c:pt idx="0">
                  <c:v>2</c:v>
                </c:pt>
                <c:pt idx="1">
                  <c:v>7</c:v>
                </c:pt>
                <c:pt idx="3">
                  <c:v>2</c:v>
                </c:pt>
                <c:pt idx="7">
                  <c:v>2</c:v>
                </c:pt>
                <c:pt idx="13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ACC8-46A2-8702-1307F332DB08}"/>
            </c:ext>
          </c:extLst>
        </c:ser>
        <c:ser>
          <c:idx val="3"/>
          <c:order val="3"/>
          <c:tx>
            <c:strRef>
              <c:f>Okresy!$A$6</c:f>
              <c:strCache>
                <c:ptCount val="1"/>
                <c:pt idx="0">
                  <c:v>Dodavatel 2. řádu</c:v>
                </c:pt>
              </c:strCache>
            </c:strRef>
          </c:tx>
          <c:spPr>
            <a:solidFill>
              <a:srgbClr val="FFCC99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cs-CZ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Okresy!$B$1:$O$2</c:f>
              <c:multiLvlStrCache>
                <c:ptCount val="14"/>
                <c:lvl>
                  <c:pt idx="0">
                    <c:v>domácí</c:v>
                  </c:pt>
                  <c:pt idx="1">
                    <c:v>zahraniční</c:v>
                  </c:pt>
                  <c:pt idx="2">
                    <c:v>domácí</c:v>
                  </c:pt>
                  <c:pt idx="3">
                    <c:v>zahraniční</c:v>
                  </c:pt>
                  <c:pt idx="4">
                    <c:v>domácí</c:v>
                  </c:pt>
                  <c:pt idx="5">
                    <c:v>zahraniční</c:v>
                  </c:pt>
                  <c:pt idx="6">
                    <c:v>domácí</c:v>
                  </c:pt>
                  <c:pt idx="7">
                    <c:v>zahraniční</c:v>
                  </c:pt>
                  <c:pt idx="8">
                    <c:v>domácí</c:v>
                  </c:pt>
                  <c:pt idx="9">
                    <c:v>zahraniční</c:v>
                  </c:pt>
                  <c:pt idx="10">
                    <c:v>domácí</c:v>
                  </c:pt>
                  <c:pt idx="11">
                    <c:v>zahraniční</c:v>
                  </c:pt>
                  <c:pt idx="12">
                    <c:v>domácí</c:v>
                  </c:pt>
                  <c:pt idx="13">
                    <c:v>zahraniční</c:v>
                  </c:pt>
                </c:lvl>
                <c:lvl>
                  <c:pt idx="0">
                    <c:v>Plzeň - město</c:v>
                  </c:pt>
                  <c:pt idx="2">
                    <c:v>Plzeň - sever</c:v>
                  </c:pt>
                  <c:pt idx="4">
                    <c:v>Rokycany</c:v>
                  </c:pt>
                  <c:pt idx="6">
                    <c:v>Plzeň - jih</c:v>
                  </c:pt>
                  <c:pt idx="8">
                    <c:v>Klatovy</c:v>
                  </c:pt>
                  <c:pt idx="10">
                    <c:v>Domažlice</c:v>
                  </c:pt>
                  <c:pt idx="12">
                    <c:v>Tachov</c:v>
                  </c:pt>
                </c:lvl>
              </c:multiLvlStrCache>
            </c:multiLvlStrRef>
          </c:cat>
          <c:val>
            <c:numRef>
              <c:f>Okresy!$B$6:$O$6</c:f>
              <c:numCache>
                <c:formatCode>General</c:formatCode>
                <c:ptCount val="14"/>
                <c:pt idx="0">
                  <c:v>1</c:v>
                </c:pt>
                <c:pt idx="1">
                  <c:v>9</c:v>
                </c:pt>
                <c:pt idx="3">
                  <c:v>5</c:v>
                </c:pt>
                <c:pt idx="5">
                  <c:v>2</c:v>
                </c:pt>
                <c:pt idx="7">
                  <c:v>5</c:v>
                </c:pt>
                <c:pt idx="9">
                  <c:v>3</c:v>
                </c:pt>
                <c:pt idx="11">
                  <c:v>4</c:v>
                </c:pt>
                <c:pt idx="13">
                  <c:v>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ACC8-46A2-8702-1307F332DB08}"/>
            </c:ext>
          </c:extLst>
        </c:ser>
        <c:ser>
          <c:idx val="4"/>
          <c:order val="4"/>
          <c:tx>
            <c:strRef>
              <c:f>Okresy!$A$7</c:f>
              <c:strCache>
                <c:ptCount val="1"/>
                <c:pt idx="0">
                  <c:v>Dodavatel 3. řádu</c:v>
                </c:pt>
              </c:strCache>
            </c:strRef>
          </c:tx>
          <c:spPr>
            <a:solidFill>
              <a:srgbClr val="FFEBAB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cs-CZ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Okresy!$B$1:$O$2</c:f>
              <c:multiLvlStrCache>
                <c:ptCount val="14"/>
                <c:lvl>
                  <c:pt idx="0">
                    <c:v>domácí</c:v>
                  </c:pt>
                  <c:pt idx="1">
                    <c:v>zahraniční</c:v>
                  </c:pt>
                  <c:pt idx="2">
                    <c:v>domácí</c:v>
                  </c:pt>
                  <c:pt idx="3">
                    <c:v>zahraniční</c:v>
                  </c:pt>
                  <c:pt idx="4">
                    <c:v>domácí</c:v>
                  </c:pt>
                  <c:pt idx="5">
                    <c:v>zahraniční</c:v>
                  </c:pt>
                  <c:pt idx="6">
                    <c:v>domácí</c:v>
                  </c:pt>
                  <c:pt idx="7">
                    <c:v>zahraniční</c:v>
                  </c:pt>
                  <c:pt idx="8">
                    <c:v>domácí</c:v>
                  </c:pt>
                  <c:pt idx="9">
                    <c:v>zahraniční</c:v>
                  </c:pt>
                  <c:pt idx="10">
                    <c:v>domácí</c:v>
                  </c:pt>
                  <c:pt idx="11">
                    <c:v>zahraniční</c:v>
                  </c:pt>
                  <c:pt idx="12">
                    <c:v>domácí</c:v>
                  </c:pt>
                  <c:pt idx="13">
                    <c:v>zahraniční</c:v>
                  </c:pt>
                </c:lvl>
                <c:lvl>
                  <c:pt idx="0">
                    <c:v>Plzeň - město</c:v>
                  </c:pt>
                  <c:pt idx="2">
                    <c:v>Plzeň - sever</c:v>
                  </c:pt>
                  <c:pt idx="4">
                    <c:v>Rokycany</c:v>
                  </c:pt>
                  <c:pt idx="6">
                    <c:v>Plzeň - jih</c:v>
                  </c:pt>
                  <c:pt idx="8">
                    <c:v>Klatovy</c:v>
                  </c:pt>
                  <c:pt idx="10">
                    <c:v>Domažlice</c:v>
                  </c:pt>
                  <c:pt idx="12">
                    <c:v>Tachov</c:v>
                  </c:pt>
                </c:lvl>
              </c:multiLvlStrCache>
            </c:multiLvlStrRef>
          </c:cat>
          <c:val>
            <c:numRef>
              <c:f>Okresy!$B$7:$O$7</c:f>
              <c:numCache>
                <c:formatCode>General</c:formatCode>
                <c:ptCount val="14"/>
                <c:pt idx="0">
                  <c:v>4</c:v>
                </c:pt>
                <c:pt idx="1">
                  <c:v>6</c:v>
                </c:pt>
                <c:pt idx="2">
                  <c:v>1</c:v>
                </c:pt>
                <c:pt idx="3">
                  <c:v>3</c:v>
                </c:pt>
                <c:pt idx="5">
                  <c:v>1</c:v>
                </c:pt>
                <c:pt idx="7">
                  <c:v>4</c:v>
                </c:pt>
                <c:pt idx="8">
                  <c:v>2</c:v>
                </c:pt>
                <c:pt idx="9">
                  <c:v>3</c:v>
                </c:pt>
                <c:pt idx="10">
                  <c:v>1</c:v>
                </c:pt>
                <c:pt idx="11">
                  <c:v>2</c:v>
                </c:pt>
                <c:pt idx="13">
                  <c:v>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ACC8-46A2-8702-1307F332DB08}"/>
            </c:ext>
          </c:extLst>
        </c:ser>
        <c:ser>
          <c:idx val="5"/>
          <c:order val="5"/>
          <c:tx>
            <c:strRef>
              <c:f>Okresy!$A$8</c:f>
              <c:strCache>
                <c:ptCount val="1"/>
                <c:pt idx="0">
                  <c:v>Mimo GPN s přístupem na koncový trh</c:v>
                </c:pt>
              </c:strCache>
            </c:strRef>
          </c:tx>
          <c:spPr>
            <a:solidFill>
              <a:schemeClr val="tx2">
                <a:lumMod val="50000"/>
                <a:lumOff val="5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cs-CZ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Okresy!$B$1:$O$2</c:f>
              <c:multiLvlStrCache>
                <c:ptCount val="14"/>
                <c:lvl>
                  <c:pt idx="0">
                    <c:v>domácí</c:v>
                  </c:pt>
                  <c:pt idx="1">
                    <c:v>zahraniční</c:v>
                  </c:pt>
                  <c:pt idx="2">
                    <c:v>domácí</c:v>
                  </c:pt>
                  <c:pt idx="3">
                    <c:v>zahraniční</c:v>
                  </c:pt>
                  <c:pt idx="4">
                    <c:v>domácí</c:v>
                  </c:pt>
                  <c:pt idx="5">
                    <c:v>zahraniční</c:v>
                  </c:pt>
                  <c:pt idx="6">
                    <c:v>domácí</c:v>
                  </c:pt>
                  <c:pt idx="7">
                    <c:v>zahraniční</c:v>
                  </c:pt>
                  <c:pt idx="8">
                    <c:v>domácí</c:v>
                  </c:pt>
                  <c:pt idx="9">
                    <c:v>zahraniční</c:v>
                  </c:pt>
                  <c:pt idx="10">
                    <c:v>domácí</c:v>
                  </c:pt>
                  <c:pt idx="11">
                    <c:v>zahraniční</c:v>
                  </c:pt>
                  <c:pt idx="12">
                    <c:v>domácí</c:v>
                  </c:pt>
                  <c:pt idx="13">
                    <c:v>zahraniční</c:v>
                  </c:pt>
                </c:lvl>
                <c:lvl>
                  <c:pt idx="0">
                    <c:v>Plzeň - město</c:v>
                  </c:pt>
                  <c:pt idx="2">
                    <c:v>Plzeň - sever</c:v>
                  </c:pt>
                  <c:pt idx="4">
                    <c:v>Rokycany</c:v>
                  </c:pt>
                  <c:pt idx="6">
                    <c:v>Plzeň - jih</c:v>
                  </c:pt>
                  <c:pt idx="8">
                    <c:v>Klatovy</c:v>
                  </c:pt>
                  <c:pt idx="10">
                    <c:v>Domažlice</c:v>
                  </c:pt>
                  <c:pt idx="12">
                    <c:v>Tachov</c:v>
                  </c:pt>
                </c:lvl>
              </c:multiLvlStrCache>
            </c:multiLvlStrRef>
          </c:cat>
          <c:val>
            <c:numRef>
              <c:f>Okresy!$B$8:$O$8</c:f>
              <c:numCache>
                <c:formatCode>General</c:formatCode>
                <c:ptCount val="14"/>
                <c:pt idx="0">
                  <c:v>21</c:v>
                </c:pt>
                <c:pt idx="1">
                  <c:v>2</c:v>
                </c:pt>
                <c:pt idx="2">
                  <c:v>6</c:v>
                </c:pt>
                <c:pt idx="3">
                  <c:v>1</c:v>
                </c:pt>
                <c:pt idx="4">
                  <c:v>11</c:v>
                </c:pt>
                <c:pt idx="6">
                  <c:v>7</c:v>
                </c:pt>
                <c:pt idx="7">
                  <c:v>3</c:v>
                </c:pt>
                <c:pt idx="8">
                  <c:v>7</c:v>
                </c:pt>
                <c:pt idx="10">
                  <c:v>9</c:v>
                </c:pt>
                <c:pt idx="11">
                  <c:v>3</c:v>
                </c:pt>
                <c:pt idx="12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ACC8-46A2-8702-1307F332DB08}"/>
            </c:ext>
          </c:extLst>
        </c:ser>
        <c:ser>
          <c:idx val="6"/>
          <c:order val="6"/>
          <c:tx>
            <c:strRef>
              <c:f>Okresy!$A$9</c:f>
              <c:strCache>
                <c:ptCount val="1"/>
                <c:pt idx="0">
                  <c:v>Mimo GPN bez přístupu na koncový trh</c:v>
                </c:pt>
              </c:strCache>
            </c:strRef>
          </c:tx>
          <c:spPr>
            <a:solidFill>
              <a:schemeClr val="tx2">
                <a:lumMod val="25000"/>
                <a:lumOff val="75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cs-CZ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Okresy!$B$1:$O$2</c:f>
              <c:multiLvlStrCache>
                <c:ptCount val="14"/>
                <c:lvl>
                  <c:pt idx="0">
                    <c:v>domácí</c:v>
                  </c:pt>
                  <c:pt idx="1">
                    <c:v>zahraniční</c:v>
                  </c:pt>
                  <c:pt idx="2">
                    <c:v>domácí</c:v>
                  </c:pt>
                  <c:pt idx="3">
                    <c:v>zahraniční</c:v>
                  </c:pt>
                  <c:pt idx="4">
                    <c:v>domácí</c:v>
                  </c:pt>
                  <c:pt idx="5">
                    <c:v>zahraniční</c:v>
                  </c:pt>
                  <c:pt idx="6">
                    <c:v>domácí</c:v>
                  </c:pt>
                  <c:pt idx="7">
                    <c:v>zahraniční</c:v>
                  </c:pt>
                  <c:pt idx="8">
                    <c:v>domácí</c:v>
                  </c:pt>
                  <c:pt idx="9">
                    <c:v>zahraniční</c:v>
                  </c:pt>
                  <c:pt idx="10">
                    <c:v>domácí</c:v>
                  </c:pt>
                  <c:pt idx="11">
                    <c:v>zahraniční</c:v>
                  </c:pt>
                  <c:pt idx="12">
                    <c:v>domácí</c:v>
                  </c:pt>
                  <c:pt idx="13">
                    <c:v>zahraniční</c:v>
                  </c:pt>
                </c:lvl>
                <c:lvl>
                  <c:pt idx="0">
                    <c:v>Plzeň - město</c:v>
                  </c:pt>
                  <c:pt idx="2">
                    <c:v>Plzeň - sever</c:v>
                  </c:pt>
                  <c:pt idx="4">
                    <c:v>Rokycany</c:v>
                  </c:pt>
                  <c:pt idx="6">
                    <c:v>Plzeň - jih</c:v>
                  </c:pt>
                  <c:pt idx="8">
                    <c:v>Klatovy</c:v>
                  </c:pt>
                  <c:pt idx="10">
                    <c:v>Domažlice</c:v>
                  </c:pt>
                  <c:pt idx="12">
                    <c:v>Tachov</c:v>
                  </c:pt>
                </c:lvl>
              </c:multiLvlStrCache>
            </c:multiLvlStrRef>
          </c:cat>
          <c:val>
            <c:numRef>
              <c:f>Okresy!$B$9:$O$9</c:f>
              <c:numCache>
                <c:formatCode>General</c:formatCode>
                <c:ptCount val="14"/>
                <c:pt idx="1">
                  <c:v>6</c:v>
                </c:pt>
                <c:pt idx="2">
                  <c:v>1</c:v>
                </c:pt>
                <c:pt idx="3">
                  <c:v>5</c:v>
                </c:pt>
                <c:pt idx="7">
                  <c:v>4</c:v>
                </c:pt>
                <c:pt idx="9">
                  <c:v>3</c:v>
                </c:pt>
                <c:pt idx="10">
                  <c:v>1</c:v>
                </c:pt>
                <c:pt idx="11">
                  <c:v>4</c:v>
                </c:pt>
                <c:pt idx="13">
                  <c:v>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ACC8-46A2-8702-1307F332DB08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gapWidth val="50"/>
        <c:overlap val="100"/>
        <c:axId val="1941826703"/>
        <c:axId val="1941827183"/>
      </c:barChart>
      <c:catAx>
        <c:axId val="1941826703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cs-CZ"/>
          </a:p>
        </c:txPr>
        <c:crossAx val="1941827183"/>
        <c:crosses val="autoZero"/>
        <c:auto val="1"/>
        <c:lblAlgn val="ctr"/>
        <c:lblOffset val="100"/>
        <c:noMultiLvlLbl val="0"/>
      </c:catAx>
      <c:valAx>
        <c:axId val="1941827183"/>
        <c:scaling>
          <c:orientation val="minMax"/>
          <c:max val="4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cs-CZ"/>
          </a:p>
        </c:txPr>
        <c:crossAx val="1941826703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76455790248441169"/>
          <c:y val="9.8341457317835265E-2"/>
          <c:w val="0.23544209751558834"/>
          <c:h val="0.6962840295187317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cs-CZ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cs-CZ"/>
    </a:p>
  </c:txPr>
  <c:externalData r:id="rId3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05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cs-CZ" sz="1050" b="1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Graf 24: Ekonomické</a:t>
            </a:r>
            <a:r>
              <a:rPr lang="cs-CZ" sz="1050" b="1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 subjekty podle postavení v GPN a </a:t>
            </a:r>
            <a:r>
              <a:rPr lang="cs-CZ" sz="1050" b="1" i="0" u="none" strike="noStrike" kern="1200" spc="0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sídla dle okresu</a:t>
            </a:r>
            <a:endParaRPr lang="cs-CZ" sz="1050" b="1">
              <a:solidFill>
                <a:sysClr val="windowText" lastClr="000000"/>
              </a:solidFill>
              <a:latin typeface="Arial" panose="020B0604020202020204" pitchFamily="34" charset="0"/>
              <a:cs typeface="Arial" panose="020B0604020202020204" pitchFamily="34" charset="0"/>
            </a:endParaRPr>
          </a:p>
        </c:rich>
      </c:tx>
      <c:layout>
        <c:manualLayout>
          <c:xMode val="edge"/>
          <c:yMode val="edge"/>
          <c:x val="0.12838274247977066"/>
          <c:y val="0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5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cs-CZ"/>
        </a:p>
      </c:txPr>
    </c:title>
    <c:autoTitleDeleted val="0"/>
    <c:plotArea>
      <c:layout>
        <c:manualLayout>
          <c:layoutTarget val="inner"/>
          <c:xMode val="edge"/>
          <c:yMode val="edge"/>
          <c:x val="0.24460577220474164"/>
          <c:y val="0.16525055523079776"/>
          <c:w val="0.69418770810330732"/>
          <c:h val="0.76564619548257007"/>
        </c:manualLayout>
      </c:layout>
      <c:barChart>
        <c:barDir val="bar"/>
        <c:grouping val="stacked"/>
        <c:varyColors val="0"/>
        <c:ser>
          <c:idx val="0"/>
          <c:order val="0"/>
          <c:tx>
            <c:strRef>
              <c:f>Okresy!$B$14</c:f>
              <c:strCache>
                <c:ptCount val="1"/>
                <c:pt idx="0">
                  <c:v>Plzeň - město</c:v>
                </c:pt>
              </c:strCache>
            </c:strRef>
          </c:tx>
          <c:spPr>
            <a:solidFill>
              <a:schemeClr val="accent6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bg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cs-CZ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Okresy!$A$15:$A$21</c:f>
              <c:strCache>
                <c:ptCount val="7"/>
                <c:pt idx="0">
                  <c:v>Vedoucí firma (integrátor)</c:v>
                </c:pt>
                <c:pt idx="1">
                  <c:v>Pobočka zahraniční vedoucí firmy</c:v>
                </c:pt>
                <c:pt idx="2">
                  <c:v>Dodavatel 1. řádu</c:v>
                </c:pt>
                <c:pt idx="3">
                  <c:v>Dodavatel 2. řádu</c:v>
                </c:pt>
                <c:pt idx="4">
                  <c:v>Dodavatel 3. řádu</c:v>
                </c:pt>
                <c:pt idx="5">
                  <c:v>Mimo GPN s přístupem na koncový trh</c:v>
                </c:pt>
                <c:pt idx="6">
                  <c:v>Mimo GPN bez přístupu na koncový trh</c:v>
                </c:pt>
              </c:strCache>
            </c:strRef>
          </c:cat>
          <c:val>
            <c:numRef>
              <c:f>Okresy!$B$15:$B$21</c:f>
              <c:numCache>
                <c:formatCode>General</c:formatCode>
                <c:ptCount val="7"/>
                <c:pt idx="0">
                  <c:v>3</c:v>
                </c:pt>
                <c:pt idx="1">
                  <c:v>9</c:v>
                </c:pt>
                <c:pt idx="2">
                  <c:v>9</c:v>
                </c:pt>
                <c:pt idx="3">
                  <c:v>10</c:v>
                </c:pt>
                <c:pt idx="4">
                  <c:v>10</c:v>
                </c:pt>
                <c:pt idx="5">
                  <c:v>23</c:v>
                </c:pt>
                <c:pt idx="6">
                  <c:v>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5D4-47B7-BD93-809E8C9D61ED}"/>
            </c:ext>
          </c:extLst>
        </c:ser>
        <c:ser>
          <c:idx val="1"/>
          <c:order val="1"/>
          <c:tx>
            <c:strRef>
              <c:f>Okresy!$C$14</c:f>
              <c:strCache>
                <c:ptCount val="1"/>
                <c:pt idx="0">
                  <c:v>Plzeň - sever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cs-CZ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Okresy!$A$15:$A$21</c:f>
              <c:strCache>
                <c:ptCount val="7"/>
                <c:pt idx="0">
                  <c:v>Vedoucí firma (integrátor)</c:v>
                </c:pt>
                <c:pt idx="1">
                  <c:v>Pobočka zahraniční vedoucí firmy</c:v>
                </c:pt>
                <c:pt idx="2">
                  <c:v>Dodavatel 1. řádu</c:v>
                </c:pt>
                <c:pt idx="3">
                  <c:v>Dodavatel 2. řádu</c:v>
                </c:pt>
                <c:pt idx="4">
                  <c:v>Dodavatel 3. řádu</c:v>
                </c:pt>
                <c:pt idx="5">
                  <c:v>Mimo GPN s přístupem na koncový trh</c:v>
                </c:pt>
                <c:pt idx="6">
                  <c:v>Mimo GPN bez přístupu na koncový trh</c:v>
                </c:pt>
              </c:strCache>
            </c:strRef>
          </c:cat>
          <c:val>
            <c:numRef>
              <c:f>Okresy!$C$15:$C$21</c:f>
              <c:numCache>
                <c:formatCode>General</c:formatCode>
                <c:ptCount val="7"/>
                <c:pt idx="1">
                  <c:v>3</c:v>
                </c:pt>
                <c:pt idx="2">
                  <c:v>2</c:v>
                </c:pt>
                <c:pt idx="3">
                  <c:v>5</c:v>
                </c:pt>
                <c:pt idx="4">
                  <c:v>4</c:v>
                </c:pt>
                <c:pt idx="5">
                  <c:v>7</c:v>
                </c:pt>
                <c:pt idx="6">
                  <c:v>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65D4-47B7-BD93-809E8C9D61ED}"/>
            </c:ext>
          </c:extLst>
        </c:ser>
        <c:ser>
          <c:idx val="2"/>
          <c:order val="2"/>
          <c:tx>
            <c:strRef>
              <c:f>Okresy!$D$14</c:f>
              <c:strCache>
                <c:ptCount val="1"/>
                <c:pt idx="0">
                  <c:v>Rokycany</c:v>
                </c:pt>
              </c:strCache>
            </c:strRef>
          </c:tx>
          <c:spPr>
            <a:solidFill>
              <a:srgbClr val="C0000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bg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cs-CZ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Okresy!$A$15:$A$21</c:f>
              <c:strCache>
                <c:ptCount val="7"/>
                <c:pt idx="0">
                  <c:v>Vedoucí firma (integrátor)</c:v>
                </c:pt>
                <c:pt idx="1">
                  <c:v>Pobočka zahraniční vedoucí firmy</c:v>
                </c:pt>
                <c:pt idx="2">
                  <c:v>Dodavatel 1. řádu</c:v>
                </c:pt>
                <c:pt idx="3">
                  <c:v>Dodavatel 2. řádu</c:v>
                </c:pt>
                <c:pt idx="4">
                  <c:v>Dodavatel 3. řádu</c:v>
                </c:pt>
                <c:pt idx="5">
                  <c:v>Mimo GPN s přístupem na koncový trh</c:v>
                </c:pt>
                <c:pt idx="6">
                  <c:v>Mimo GPN bez přístupu na koncový trh</c:v>
                </c:pt>
              </c:strCache>
            </c:strRef>
          </c:cat>
          <c:val>
            <c:numRef>
              <c:f>Okresy!$D$15:$D$21</c:f>
              <c:numCache>
                <c:formatCode>General</c:formatCode>
                <c:ptCount val="7"/>
                <c:pt idx="1">
                  <c:v>2</c:v>
                </c:pt>
                <c:pt idx="3">
                  <c:v>2</c:v>
                </c:pt>
                <c:pt idx="4">
                  <c:v>1</c:v>
                </c:pt>
                <c:pt idx="5">
                  <c:v>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65D4-47B7-BD93-809E8C9D61ED}"/>
            </c:ext>
          </c:extLst>
        </c:ser>
        <c:ser>
          <c:idx val="3"/>
          <c:order val="3"/>
          <c:tx>
            <c:strRef>
              <c:f>Okresy!$E$14</c:f>
              <c:strCache>
                <c:ptCount val="1"/>
                <c:pt idx="0">
                  <c:v>Plzeň - jih</c:v>
                </c:pt>
              </c:strCache>
            </c:strRef>
          </c:tx>
          <c:spPr>
            <a:solidFill>
              <a:srgbClr val="FFC00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cs-CZ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Okresy!$A$15:$A$21</c:f>
              <c:strCache>
                <c:ptCount val="7"/>
                <c:pt idx="0">
                  <c:v>Vedoucí firma (integrátor)</c:v>
                </c:pt>
                <c:pt idx="1">
                  <c:v>Pobočka zahraniční vedoucí firmy</c:v>
                </c:pt>
                <c:pt idx="2">
                  <c:v>Dodavatel 1. řádu</c:v>
                </c:pt>
                <c:pt idx="3">
                  <c:v>Dodavatel 2. řádu</c:v>
                </c:pt>
                <c:pt idx="4">
                  <c:v>Dodavatel 3. řádu</c:v>
                </c:pt>
                <c:pt idx="5">
                  <c:v>Mimo GPN s přístupem na koncový trh</c:v>
                </c:pt>
                <c:pt idx="6">
                  <c:v>Mimo GPN bez přístupu na koncový trh</c:v>
                </c:pt>
              </c:strCache>
            </c:strRef>
          </c:cat>
          <c:val>
            <c:numRef>
              <c:f>Okresy!$E$15:$E$21</c:f>
              <c:numCache>
                <c:formatCode>General</c:formatCode>
                <c:ptCount val="7"/>
                <c:pt idx="2">
                  <c:v>2</c:v>
                </c:pt>
                <c:pt idx="3">
                  <c:v>5</c:v>
                </c:pt>
                <c:pt idx="4">
                  <c:v>4</c:v>
                </c:pt>
                <c:pt idx="5">
                  <c:v>10</c:v>
                </c:pt>
                <c:pt idx="6">
                  <c:v>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65D4-47B7-BD93-809E8C9D61ED}"/>
            </c:ext>
          </c:extLst>
        </c:ser>
        <c:ser>
          <c:idx val="4"/>
          <c:order val="4"/>
          <c:tx>
            <c:strRef>
              <c:f>Okresy!$F$14</c:f>
              <c:strCache>
                <c:ptCount val="1"/>
                <c:pt idx="0">
                  <c:v>Klatovy</c:v>
                </c:pt>
              </c:strCache>
            </c:strRef>
          </c:tx>
          <c:spPr>
            <a:solidFill>
              <a:srgbClr val="0070C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bg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cs-CZ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Okresy!$A$15:$A$21</c:f>
              <c:strCache>
                <c:ptCount val="7"/>
                <c:pt idx="0">
                  <c:v>Vedoucí firma (integrátor)</c:v>
                </c:pt>
                <c:pt idx="1">
                  <c:v>Pobočka zahraniční vedoucí firmy</c:v>
                </c:pt>
                <c:pt idx="2">
                  <c:v>Dodavatel 1. řádu</c:v>
                </c:pt>
                <c:pt idx="3">
                  <c:v>Dodavatel 2. řádu</c:v>
                </c:pt>
                <c:pt idx="4">
                  <c:v>Dodavatel 3. řádu</c:v>
                </c:pt>
                <c:pt idx="5">
                  <c:v>Mimo GPN s přístupem na koncový trh</c:v>
                </c:pt>
                <c:pt idx="6">
                  <c:v>Mimo GPN bez přístupu na koncový trh</c:v>
                </c:pt>
              </c:strCache>
            </c:strRef>
          </c:cat>
          <c:val>
            <c:numRef>
              <c:f>Okresy!$F$15:$F$21</c:f>
              <c:numCache>
                <c:formatCode>General</c:formatCode>
                <c:ptCount val="7"/>
                <c:pt idx="1">
                  <c:v>5</c:v>
                </c:pt>
                <c:pt idx="3">
                  <c:v>3</c:v>
                </c:pt>
                <c:pt idx="4">
                  <c:v>5</c:v>
                </c:pt>
                <c:pt idx="5">
                  <c:v>7</c:v>
                </c:pt>
                <c:pt idx="6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65D4-47B7-BD93-809E8C9D61ED}"/>
            </c:ext>
          </c:extLst>
        </c:ser>
        <c:ser>
          <c:idx val="5"/>
          <c:order val="5"/>
          <c:tx>
            <c:strRef>
              <c:f>Okresy!$G$14</c:f>
              <c:strCache>
                <c:ptCount val="1"/>
                <c:pt idx="0">
                  <c:v>Domažlice</c:v>
                </c:pt>
              </c:strCache>
            </c:strRef>
          </c:tx>
          <c:spPr>
            <a:solidFill>
              <a:schemeClr val="accent1">
                <a:lumMod val="20000"/>
                <a:lumOff val="8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cs-CZ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Okresy!$A$15:$A$21</c:f>
              <c:strCache>
                <c:ptCount val="7"/>
                <c:pt idx="0">
                  <c:v>Vedoucí firma (integrátor)</c:v>
                </c:pt>
                <c:pt idx="1">
                  <c:v>Pobočka zahraniční vedoucí firmy</c:v>
                </c:pt>
                <c:pt idx="2">
                  <c:v>Dodavatel 1. řádu</c:v>
                </c:pt>
                <c:pt idx="3">
                  <c:v>Dodavatel 2. řádu</c:v>
                </c:pt>
                <c:pt idx="4">
                  <c:v>Dodavatel 3. řádu</c:v>
                </c:pt>
                <c:pt idx="5">
                  <c:v>Mimo GPN s přístupem na koncový trh</c:v>
                </c:pt>
                <c:pt idx="6">
                  <c:v>Mimo GPN bez přístupu na koncový trh</c:v>
                </c:pt>
              </c:strCache>
            </c:strRef>
          </c:cat>
          <c:val>
            <c:numRef>
              <c:f>Okresy!$G$15:$G$21</c:f>
              <c:numCache>
                <c:formatCode>General</c:formatCode>
                <c:ptCount val="7"/>
                <c:pt idx="1">
                  <c:v>2</c:v>
                </c:pt>
                <c:pt idx="3">
                  <c:v>4</c:v>
                </c:pt>
                <c:pt idx="4">
                  <c:v>3</c:v>
                </c:pt>
                <c:pt idx="5">
                  <c:v>12</c:v>
                </c:pt>
                <c:pt idx="6">
                  <c:v>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65D4-47B7-BD93-809E8C9D61ED}"/>
            </c:ext>
          </c:extLst>
        </c:ser>
        <c:ser>
          <c:idx val="6"/>
          <c:order val="6"/>
          <c:tx>
            <c:strRef>
              <c:f>Okresy!$H$14</c:f>
              <c:strCache>
                <c:ptCount val="1"/>
                <c:pt idx="0">
                  <c:v>Tachov</c:v>
                </c:pt>
              </c:strCache>
            </c:strRef>
          </c:tx>
          <c:spPr>
            <a:solidFill>
              <a:srgbClr val="00206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bg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cs-CZ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Okresy!$A$15:$A$21</c:f>
              <c:strCache>
                <c:ptCount val="7"/>
                <c:pt idx="0">
                  <c:v>Vedoucí firma (integrátor)</c:v>
                </c:pt>
                <c:pt idx="1">
                  <c:v>Pobočka zahraniční vedoucí firmy</c:v>
                </c:pt>
                <c:pt idx="2">
                  <c:v>Dodavatel 1. řádu</c:v>
                </c:pt>
                <c:pt idx="3">
                  <c:v>Dodavatel 2. řádu</c:v>
                </c:pt>
                <c:pt idx="4">
                  <c:v>Dodavatel 3. řádu</c:v>
                </c:pt>
                <c:pt idx="5">
                  <c:v>Mimo GPN s přístupem na koncový trh</c:v>
                </c:pt>
                <c:pt idx="6">
                  <c:v>Mimo GPN bez přístupu na koncový trh</c:v>
                </c:pt>
              </c:strCache>
            </c:strRef>
          </c:cat>
          <c:val>
            <c:numRef>
              <c:f>Okresy!$H$15:$H$21</c:f>
              <c:numCache>
                <c:formatCode>General</c:formatCode>
                <c:ptCount val="7"/>
                <c:pt idx="1">
                  <c:v>3</c:v>
                </c:pt>
                <c:pt idx="2">
                  <c:v>1</c:v>
                </c:pt>
                <c:pt idx="3">
                  <c:v>8</c:v>
                </c:pt>
                <c:pt idx="4">
                  <c:v>11</c:v>
                </c:pt>
                <c:pt idx="5">
                  <c:v>3</c:v>
                </c:pt>
                <c:pt idx="6">
                  <c:v>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65D4-47B7-BD93-809E8C9D61ED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gapWidth val="50"/>
        <c:overlap val="100"/>
        <c:axId val="43989279"/>
        <c:axId val="43984959"/>
      </c:barChart>
      <c:catAx>
        <c:axId val="43989279"/>
        <c:scaling>
          <c:orientation val="maxMin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cs-CZ"/>
          </a:p>
        </c:txPr>
        <c:crossAx val="43984959"/>
        <c:crosses val="autoZero"/>
        <c:auto val="1"/>
        <c:lblAlgn val="ctr"/>
        <c:lblOffset val="100"/>
        <c:noMultiLvlLbl val="0"/>
      </c:catAx>
      <c:valAx>
        <c:axId val="43984959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solidFill>
              <a:schemeClr val="bg2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cs-CZ"/>
          </a:p>
        </c:txPr>
        <c:crossAx val="43989279"/>
        <c:crosses val="max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4.9735182913034422E-2"/>
          <c:y val="7.2528675687423189E-2"/>
          <c:w val="0.84958375164270938"/>
          <c:h val="6.6035426194144625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cs-CZ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cs-CZ"/>
    </a:p>
  </c:txPr>
  <c:externalData r:id="rId3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050" b="0" i="0" u="none" strike="noStrike" kern="1200" spc="0" baseline="0">
                <a:ln>
                  <a:noFill/>
                </a:ln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cs-CZ" sz="1050" b="1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Graf 25: Hodnota vytvořená podle postavení subjektů v GPN</a:t>
            </a:r>
          </a:p>
        </c:rich>
      </c:tx>
      <c:layout>
        <c:manualLayout>
          <c:xMode val="edge"/>
          <c:yMode val="edge"/>
          <c:x val="7.7391076115485586E-3"/>
          <c:y val="1.0906595391172435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50" b="0" i="0" u="none" strike="noStrike" kern="1200" spc="0" baseline="0">
              <a:ln>
                <a:noFill/>
              </a:ln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cs-CZ"/>
        </a:p>
      </c:txPr>
    </c:title>
    <c:autoTitleDeleted val="0"/>
    <c:plotArea>
      <c:layout>
        <c:manualLayout>
          <c:layoutTarget val="inner"/>
          <c:xMode val="edge"/>
          <c:yMode val="edge"/>
          <c:x val="8.5346281714785657E-2"/>
          <c:y val="6.8409631935542947E-2"/>
          <c:w val="0.55274960629921255"/>
          <c:h val="0.85354402947338004"/>
        </c:manualLayout>
      </c:layout>
      <c:scatterChart>
        <c:scatterStyle val="lineMarker"/>
        <c:varyColors val="0"/>
        <c:ser>
          <c:idx val="0"/>
          <c:order val="0"/>
          <c:spPr>
            <a:ln w="25400" cap="rnd">
              <a:noFill/>
              <a:round/>
            </a:ln>
            <a:effectLst/>
          </c:spPr>
          <c:marker>
            <c:symbol val="circle"/>
            <c:size val="7"/>
            <c:spPr>
              <a:solidFill>
                <a:schemeClr val="accent6">
                  <a:lumMod val="40000"/>
                  <a:lumOff val="60000"/>
                </a:schemeClr>
              </a:solidFill>
              <a:ln w="9525">
                <a:solidFill>
                  <a:schemeClr val="accent6">
                    <a:lumMod val="75000"/>
                  </a:schemeClr>
                </a:solidFill>
              </a:ln>
              <a:effectLst/>
            </c:spPr>
          </c:marker>
          <c:xVal>
            <c:numRef>
              <c:f>'Grafy 1'!$I$2:$I$170</c:f>
              <c:numCache>
                <c:formatCode>General</c:formatCode>
                <c:ptCount val="169"/>
                <c:pt idx="0">
                  <c:v>1</c:v>
                </c:pt>
                <c:pt idx="1">
                  <c:v>1</c:v>
                </c:pt>
                <c:pt idx="2">
                  <c:v>1</c:v>
                </c:pt>
                <c:pt idx="3">
                  <c:v>2</c:v>
                </c:pt>
                <c:pt idx="4">
                  <c:v>2</c:v>
                </c:pt>
                <c:pt idx="5">
                  <c:v>2</c:v>
                </c:pt>
                <c:pt idx="6">
                  <c:v>2</c:v>
                </c:pt>
                <c:pt idx="7">
                  <c:v>2</c:v>
                </c:pt>
                <c:pt idx="8">
                  <c:v>2</c:v>
                </c:pt>
                <c:pt idx="9">
                  <c:v>2</c:v>
                </c:pt>
                <c:pt idx="10">
                  <c:v>2</c:v>
                </c:pt>
                <c:pt idx="11">
                  <c:v>2</c:v>
                </c:pt>
                <c:pt idx="12">
                  <c:v>2</c:v>
                </c:pt>
                <c:pt idx="13">
                  <c:v>2</c:v>
                </c:pt>
                <c:pt idx="14">
                  <c:v>2</c:v>
                </c:pt>
                <c:pt idx="15">
                  <c:v>2</c:v>
                </c:pt>
                <c:pt idx="16">
                  <c:v>2</c:v>
                </c:pt>
                <c:pt idx="17">
                  <c:v>2</c:v>
                </c:pt>
                <c:pt idx="18">
                  <c:v>2</c:v>
                </c:pt>
                <c:pt idx="19">
                  <c:v>2</c:v>
                </c:pt>
                <c:pt idx="20">
                  <c:v>2</c:v>
                </c:pt>
                <c:pt idx="21">
                  <c:v>2</c:v>
                </c:pt>
                <c:pt idx="22">
                  <c:v>2</c:v>
                </c:pt>
                <c:pt idx="23">
                  <c:v>2</c:v>
                </c:pt>
                <c:pt idx="24">
                  <c:v>2</c:v>
                </c:pt>
                <c:pt idx="25">
                  <c:v>2</c:v>
                </c:pt>
                <c:pt idx="26">
                  <c:v>3</c:v>
                </c:pt>
                <c:pt idx="27">
                  <c:v>3</c:v>
                </c:pt>
                <c:pt idx="28">
                  <c:v>3</c:v>
                </c:pt>
                <c:pt idx="29">
                  <c:v>3</c:v>
                </c:pt>
                <c:pt idx="30">
                  <c:v>3</c:v>
                </c:pt>
                <c:pt idx="31">
                  <c:v>3</c:v>
                </c:pt>
                <c:pt idx="32">
                  <c:v>3</c:v>
                </c:pt>
                <c:pt idx="33">
                  <c:v>3</c:v>
                </c:pt>
                <c:pt idx="34">
                  <c:v>3</c:v>
                </c:pt>
                <c:pt idx="35">
                  <c:v>3</c:v>
                </c:pt>
                <c:pt idx="36">
                  <c:v>3</c:v>
                </c:pt>
                <c:pt idx="37">
                  <c:v>3</c:v>
                </c:pt>
                <c:pt idx="38">
                  <c:v>4</c:v>
                </c:pt>
                <c:pt idx="39">
                  <c:v>4</c:v>
                </c:pt>
                <c:pt idx="40">
                  <c:v>4</c:v>
                </c:pt>
                <c:pt idx="41">
                  <c:v>4</c:v>
                </c:pt>
                <c:pt idx="42">
                  <c:v>4</c:v>
                </c:pt>
                <c:pt idx="43">
                  <c:v>4</c:v>
                </c:pt>
                <c:pt idx="44">
                  <c:v>4</c:v>
                </c:pt>
                <c:pt idx="45">
                  <c:v>4</c:v>
                </c:pt>
                <c:pt idx="46">
                  <c:v>4</c:v>
                </c:pt>
                <c:pt idx="47">
                  <c:v>4</c:v>
                </c:pt>
                <c:pt idx="48">
                  <c:v>4</c:v>
                </c:pt>
                <c:pt idx="49">
                  <c:v>4</c:v>
                </c:pt>
                <c:pt idx="50">
                  <c:v>4</c:v>
                </c:pt>
                <c:pt idx="51">
                  <c:v>4</c:v>
                </c:pt>
                <c:pt idx="52">
                  <c:v>4</c:v>
                </c:pt>
                <c:pt idx="53">
                  <c:v>4</c:v>
                </c:pt>
                <c:pt idx="54">
                  <c:v>4</c:v>
                </c:pt>
                <c:pt idx="55">
                  <c:v>4</c:v>
                </c:pt>
                <c:pt idx="56">
                  <c:v>4</c:v>
                </c:pt>
                <c:pt idx="57">
                  <c:v>4</c:v>
                </c:pt>
                <c:pt idx="58">
                  <c:v>4</c:v>
                </c:pt>
                <c:pt idx="59">
                  <c:v>4</c:v>
                </c:pt>
                <c:pt idx="60">
                  <c:v>4</c:v>
                </c:pt>
                <c:pt idx="61">
                  <c:v>4</c:v>
                </c:pt>
                <c:pt idx="62">
                  <c:v>4</c:v>
                </c:pt>
                <c:pt idx="63">
                  <c:v>4</c:v>
                </c:pt>
                <c:pt idx="64">
                  <c:v>4</c:v>
                </c:pt>
                <c:pt idx="65">
                  <c:v>4</c:v>
                </c:pt>
                <c:pt idx="66">
                  <c:v>4</c:v>
                </c:pt>
                <c:pt idx="67">
                  <c:v>4</c:v>
                </c:pt>
                <c:pt idx="68">
                  <c:v>4</c:v>
                </c:pt>
                <c:pt idx="69">
                  <c:v>5</c:v>
                </c:pt>
                <c:pt idx="70">
                  <c:v>5</c:v>
                </c:pt>
                <c:pt idx="71">
                  <c:v>5</c:v>
                </c:pt>
                <c:pt idx="72">
                  <c:v>5</c:v>
                </c:pt>
                <c:pt idx="73">
                  <c:v>5</c:v>
                </c:pt>
                <c:pt idx="74">
                  <c:v>5</c:v>
                </c:pt>
                <c:pt idx="75">
                  <c:v>5</c:v>
                </c:pt>
                <c:pt idx="76">
                  <c:v>5</c:v>
                </c:pt>
                <c:pt idx="77">
                  <c:v>5</c:v>
                </c:pt>
                <c:pt idx="78">
                  <c:v>5</c:v>
                </c:pt>
                <c:pt idx="79">
                  <c:v>5</c:v>
                </c:pt>
                <c:pt idx="80">
                  <c:v>5</c:v>
                </c:pt>
                <c:pt idx="81">
                  <c:v>5</c:v>
                </c:pt>
                <c:pt idx="82">
                  <c:v>5</c:v>
                </c:pt>
                <c:pt idx="83">
                  <c:v>5</c:v>
                </c:pt>
                <c:pt idx="84">
                  <c:v>5</c:v>
                </c:pt>
                <c:pt idx="85">
                  <c:v>5</c:v>
                </c:pt>
                <c:pt idx="86">
                  <c:v>5</c:v>
                </c:pt>
                <c:pt idx="87">
                  <c:v>5</c:v>
                </c:pt>
                <c:pt idx="88">
                  <c:v>5</c:v>
                </c:pt>
                <c:pt idx="89">
                  <c:v>5</c:v>
                </c:pt>
                <c:pt idx="90">
                  <c:v>5</c:v>
                </c:pt>
                <c:pt idx="91">
                  <c:v>5</c:v>
                </c:pt>
                <c:pt idx="92">
                  <c:v>6</c:v>
                </c:pt>
                <c:pt idx="93">
                  <c:v>6</c:v>
                </c:pt>
                <c:pt idx="94">
                  <c:v>6</c:v>
                </c:pt>
                <c:pt idx="95">
                  <c:v>6</c:v>
                </c:pt>
                <c:pt idx="96">
                  <c:v>6</c:v>
                </c:pt>
                <c:pt idx="97">
                  <c:v>6</c:v>
                </c:pt>
                <c:pt idx="98">
                  <c:v>6</c:v>
                </c:pt>
                <c:pt idx="99">
                  <c:v>6</c:v>
                </c:pt>
                <c:pt idx="100">
                  <c:v>6</c:v>
                </c:pt>
                <c:pt idx="101">
                  <c:v>6</c:v>
                </c:pt>
                <c:pt idx="102">
                  <c:v>6</c:v>
                </c:pt>
                <c:pt idx="103">
                  <c:v>6</c:v>
                </c:pt>
                <c:pt idx="104">
                  <c:v>6</c:v>
                </c:pt>
                <c:pt idx="105">
                  <c:v>6</c:v>
                </c:pt>
                <c:pt idx="106">
                  <c:v>6</c:v>
                </c:pt>
                <c:pt idx="107">
                  <c:v>6</c:v>
                </c:pt>
                <c:pt idx="108">
                  <c:v>6</c:v>
                </c:pt>
                <c:pt idx="109">
                  <c:v>6</c:v>
                </c:pt>
                <c:pt idx="110">
                  <c:v>6</c:v>
                </c:pt>
                <c:pt idx="111">
                  <c:v>6</c:v>
                </c:pt>
                <c:pt idx="112">
                  <c:v>6</c:v>
                </c:pt>
                <c:pt idx="113">
                  <c:v>6</c:v>
                </c:pt>
                <c:pt idx="114">
                  <c:v>6</c:v>
                </c:pt>
                <c:pt idx="115">
                  <c:v>6</c:v>
                </c:pt>
                <c:pt idx="116">
                  <c:v>6</c:v>
                </c:pt>
                <c:pt idx="117">
                  <c:v>6</c:v>
                </c:pt>
                <c:pt idx="118">
                  <c:v>6</c:v>
                </c:pt>
                <c:pt idx="119">
                  <c:v>6</c:v>
                </c:pt>
                <c:pt idx="120">
                  <c:v>6</c:v>
                </c:pt>
                <c:pt idx="121">
                  <c:v>6</c:v>
                </c:pt>
                <c:pt idx="122">
                  <c:v>6</c:v>
                </c:pt>
                <c:pt idx="123">
                  <c:v>6</c:v>
                </c:pt>
                <c:pt idx="124">
                  <c:v>6</c:v>
                </c:pt>
                <c:pt idx="125">
                  <c:v>6</c:v>
                </c:pt>
                <c:pt idx="126">
                  <c:v>6</c:v>
                </c:pt>
                <c:pt idx="127">
                  <c:v>6</c:v>
                </c:pt>
                <c:pt idx="128">
                  <c:v>6</c:v>
                </c:pt>
                <c:pt idx="129">
                  <c:v>6</c:v>
                </c:pt>
                <c:pt idx="130">
                  <c:v>6</c:v>
                </c:pt>
                <c:pt idx="131">
                  <c:v>6</c:v>
                </c:pt>
                <c:pt idx="132">
                  <c:v>6</c:v>
                </c:pt>
                <c:pt idx="133">
                  <c:v>6</c:v>
                </c:pt>
                <c:pt idx="134">
                  <c:v>6</c:v>
                </c:pt>
                <c:pt idx="135">
                  <c:v>6</c:v>
                </c:pt>
                <c:pt idx="136">
                  <c:v>6</c:v>
                </c:pt>
                <c:pt idx="137">
                  <c:v>6</c:v>
                </c:pt>
                <c:pt idx="138">
                  <c:v>6</c:v>
                </c:pt>
                <c:pt idx="139">
                  <c:v>6</c:v>
                </c:pt>
                <c:pt idx="140">
                  <c:v>6</c:v>
                </c:pt>
                <c:pt idx="141">
                  <c:v>6</c:v>
                </c:pt>
                <c:pt idx="142">
                  <c:v>6</c:v>
                </c:pt>
                <c:pt idx="143">
                  <c:v>6</c:v>
                </c:pt>
                <c:pt idx="144">
                  <c:v>6</c:v>
                </c:pt>
                <c:pt idx="145">
                  <c:v>6</c:v>
                </c:pt>
                <c:pt idx="146">
                  <c:v>6</c:v>
                </c:pt>
                <c:pt idx="147">
                  <c:v>7</c:v>
                </c:pt>
                <c:pt idx="148">
                  <c:v>7</c:v>
                </c:pt>
                <c:pt idx="149">
                  <c:v>7</c:v>
                </c:pt>
                <c:pt idx="150">
                  <c:v>7</c:v>
                </c:pt>
                <c:pt idx="151">
                  <c:v>7</c:v>
                </c:pt>
                <c:pt idx="152">
                  <c:v>7</c:v>
                </c:pt>
                <c:pt idx="153">
                  <c:v>7</c:v>
                </c:pt>
                <c:pt idx="154">
                  <c:v>7</c:v>
                </c:pt>
                <c:pt idx="155">
                  <c:v>7</c:v>
                </c:pt>
                <c:pt idx="156">
                  <c:v>7</c:v>
                </c:pt>
                <c:pt idx="157">
                  <c:v>7</c:v>
                </c:pt>
                <c:pt idx="158">
                  <c:v>7</c:v>
                </c:pt>
                <c:pt idx="159">
                  <c:v>7</c:v>
                </c:pt>
                <c:pt idx="160">
                  <c:v>7</c:v>
                </c:pt>
                <c:pt idx="161">
                  <c:v>7</c:v>
                </c:pt>
                <c:pt idx="162">
                  <c:v>7</c:v>
                </c:pt>
                <c:pt idx="163">
                  <c:v>7</c:v>
                </c:pt>
                <c:pt idx="164">
                  <c:v>7</c:v>
                </c:pt>
                <c:pt idx="165">
                  <c:v>7</c:v>
                </c:pt>
                <c:pt idx="166">
                  <c:v>7</c:v>
                </c:pt>
                <c:pt idx="167">
                  <c:v>7</c:v>
                </c:pt>
                <c:pt idx="168">
                  <c:v>7</c:v>
                </c:pt>
              </c:numCache>
            </c:numRef>
          </c:xVal>
          <c:yVal>
            <c:numRef>
              <c:f>'Grafy 1'!$W$2:$W$170</c:f>
              <c:numCache>
                <c:formatCode>0.0</c:formatCode>
                <c:ptCount val="169"/>
                <c:pt idx="0">
                  <c:v>206.78337047251318</c:v>
                </c:pt>
                <c:pt idx="1">
                  <c:v>3.5135110636000983</c:v>
                </c:pt>
                <c:pt idx="2">
                  <c:v>32.683805444478423</c:v>
                </c:pt>
                <c:pt idx="3">
                  <c:v>13.211506737883211</c:v>
                </c:pt>
                <c:pt idx="4">
                  <c:v>30.269127171044524</c:v>
                </c:pt>
                <c:pt idx="5">
                  <c:v>78.632214908384512</c:v>
                </c:pt>
                <c:pt idx="6">
                  <c:v>91.108797939609133</c:v>
                </c:pt>
                <c:pt idx="7">
                  <c:v>140.76252621755015</c:v>
                </c:pt>
                <c:pt idx="8">
                  <c:v>8.0948742380474155</c:v>
                </c:pt>
                <c:pt idx="9">
                  <c:v>100.20783401178049</c:v>
                </c:pt>
                <c:pt idx="10">
                  <c:v>57.271301366092096</c:v>
                </c:pt>
                <c:pt idx="11">
                  <c:v>36.093136243632856</c:v>
                </c:pt>
                <c:pt idx="12">
                  <c:v>52.535414935485662</c:v>
                </c:pt>
                <c:pt idx="13">
                  <c:v>48.529021873492418</c:v>
                </c:pt>
                <c:pt idx="14">
                  <c:v>56.167801245502574</c:v>
                </c:pt>
                <c:pt idx="15">
                  <c:v>66.646594386322647</c:v>
                </c:pt>
                <c:pt idx="16">
                  <c:v>42.34836882766897</c:v>
                </c:pt>
                <c:pt idx="17">
                  <c:v>46.1880187698914</c:v>
                </c:pt>
                <c:pt idx="18">
                  <c:v>38.259210303518515</c:v>
                </c:pt>
                <c:pt idx="19">
                  <c:v>53.165233049301861</c:v>
                </c:pt>
                <c:pt idx="20">
                  <c:v>61.367997268902059</c:v>
                </c:pt>
                <c:pt idx="21">
                  <c:v>74.374559220222892</c:v>
                </c:pt>
                <c:pt idx="22">
                  <c:v>32.290857429080319</c:v>
                </c:pt>
                <c:pt idx="23">
                  <c:v>-30.876489344334704</c:v>
                </c:pt>
                <c:pt idx="24">
                  <c:v>-20.519052233610175</c:v>
                </c:pt>
                <c:pt idx="25">
                  <c:v>43.370672818693542</c:v>
                </c:pt>
                <c:pt idx="26">
                  <c:v>10.048668204627043</c:v>
                </c:pt>
                <c:pt idx="27">
                  <c:v>12.630346249668772</c:v>
                </c:pt>
                <c:pt idx="28">
                  <c:v>41.226375638916281</c:v>
                </c:pt>
                <c:pt idx="29">
                  <c:v>50.307953144873785</c:v>
                </c:pt>
                <c:pt idx="30">
                  <c:v>118.47308871072363</c:v>
                </c:pt>
                <c:pt idx="31">
                  <c:v>50.356577121386145</c:v>
                </c:pt>
                <c:pt idx="32">
                  <c:v>67.024009939331819</c:v>
                </c:pt>
                <c:pt idx="33">
                  <c:v>31.11155835089043</c:v>
                </c:pt>
                <c:pt idx="34">
                  <c:v>23.979983427960676</c:v>
                </c:pt>
                <c:pt idx="35">
                  <c:v>-34.116812441303175</c:v>
                </c:pt>
                <c:pt idx="36">
                  <c:v>-26.402550311232371</c:v>
                </c:pt>
                <c:pt idx="37">
                  <c:v>-7.393649166843522</c:v>
                </c:pt>
                <c:pt idx="38">
                  <c:v>47.176033028859813</c:v>
                </c:pt>
                <c:pt idx="39">
                  <c:v>7.4904718491767674</c:v>
                </c:pt>
                <c:pt idx="40">
                  <c:v>-11.228572960769107</c:v>
                </c:pt>
                <c:pt idx="41">
                  <c:v>28.116284469146251</c:v>
                </c:pt>
                <c:pt idx="42">
                  <c:v>66.450538811840573</c:v>
                </c:pt>
                <c:pt idx="43">
                  <c:v>19.68197338647839</c:v>
                </c:pt>
                <c:pt idx="44">
                  <c:v>96.22740501401303</c:v>
                </c:pt>
                <c:pt idx="45">
                  <c:v>15.891144118581455</c:v>
                </c:pt>
                <c:pt idx="46">
                  <c:v>30.259868218027542</c:v>
                </c:pt>
                <c:pt idx="47">
                  <c:v>128.20573397936994</c:v>
                </c:pt>
                <c:pt idx="48">
                  <c:v>62.737091124757427</c:v>
                </c:pt>
                <c:pt idx="49">
                  <c:v>78.277297549954369</c:v>
                </c:pt>
                <c:pt idx="50">
                  <c:v>13.165199350614879</c:v>
                </c:pt>
                <c:pt idx="51">
                  <c:v>99.048979629052184</c:v>
                </c:pt>
                <c:pt idx="52">
                  <c:v>48.775119994151098</c:v>
                </c:pt>
                <c:pt idx="53">
                  <c:v>109.66583319218788</c:v>
                </c:pt>
                <c:pt idx="54">
                  <c:v>49.107402454585262</c:v>
                </c:pt>
                <c:pt idx="55">
                  <c:v>106.61660365129799</c:v>
                </c:pt>
                <c:pt idx="56">
                  <c:v>27.44369334058057</c:v>
                </c:pt>
                <c:pt idx="57">
                  <c:v>5.2982946327931391</c:v>
                </c:pt>
                <c:pt idx="58">
                  <c:v>11.306180290936345</c:v>
                </c:pt>
                <c:pt idx="59">
                  <c:v>0.12086061908866297</c:v>
                </c:pt>
                <c:pt idx="60">
                  <c:v>-5.6408997260199065</c:v>
                </c:pt>
                <c:pt idx="61">
                  <c:v>67.693068565845593</c:v>
                </c:pt>
                <c:pt idx="62">
                  <c:v>16.662248476944821</c:v>
                </c:pt>
                <c:pt idx="63">
                  <c:v>134.68375638277826</c:v>
                </c:pt>
                <c:pt idx="64">
                  <c:v>-30.654870548757803</c:v>
                </c:pt>
                <c:pt idx="65">
                  <c:v>-29.144262188014601</c:v>
                </c:pt>
                <c:pt idx="66">
                  <c:v>37.448678029263846</c:v>
                </c:pt>
                <c:pt idx="67">
                  <c:v>23.387650692377498</c:v>
                </c:pt>
                <c:pt idx="68">
                  <c:v>22.877109197521207</c:v>
                </c:pt>
                <c:pt idx="69">
                  <c:v>50.243922031368818</c:v>
                </c:pt>
                <c:pt idx="70">
                  <c:v>89.630567313273531</c:v>
                </c:pt>
                <c:pt idx="71">
                  <c:v>33.782427203223598</c:v>
                </c:pt>
                <c:pt idx="72">
                  <c:v>104.1667271922104</c:v>
                </c:pt>
                <c:pt idx="73">
                  <c:v>88.898884018048733</c:v>
                </c:pt>
                <c:pt idx="74">
                  <c:v>18.162727962024512</c:v>
                </c:pt>
                <c:pt idx="75">
                  <c:v>45.879836449794325</c:v>
                </c:pt>
                <c:pt idx="76">
                  <c:v>136.2873828607249</c:v>
                </c:pt>
                <c:pt idx="77">
                  <c:v>67.550482760180415</c:v>
                </c:pt>
                <c:pt idx="78">
                  <c:v>79.968455139833409</c:v>
                </c:pt>
                <c:pt idx="79">
                  <c:v>598.22495258571632</c:v>
                </c:pt>
                <c:pt idx="80">
                  <c:v>20.336009451674499</c:v>
                </c:pt>
                <c:pt idx="81">
                  <c:v>68.844395190954216</c:v>
                </c:pt>
                <c:pt idx="82">
                  <c:v>-1.2142250665325562</c:v>
                </c:pt>
                <c:pt idx="83">
                  <c:v>32.677836662324133</c:v>
                </c:pt>
                <c:pt idx="84">
                  <c:v>29.192644410290157</c:v>
                </c:pt>
                <c:pt idx="85">
                  <c:v>42.24090440409195</c:v>
                </c:pt>
                <c:pt idx="86">
                  <c:v>-5.4898078920265956</c:v>
                </c:pt>
                <c:pt idx="87">
                  <c:v>20.028700610439124</c:v>
                </c:pt>
                <c:pt idx="88">
                  <c:v>25.585284732112402</c:v>
                </c:pt>
                <c:pt idx="89">
                  <c:v>-29.207635910167603</c:v>
                </c:pt>
                <c:pt idx="90">
                  <c:v>49.130174245244881</c:v>
                </c:pt>
                <c:pt idx="91">
                  <c:v>101.1149028744718</c:v>
                </c:pt>
                <c:pt idx="92">
                  <c:v>20.981970002955087</c:v>
                </c:pt>
                <c:pt idx="93">
                  <c:v>48.949681649174558</c:v>
                </c:pt>
                <c:pt idx="94">
                  <c:v>56.202406047638966</c:v>
                </c:pt>
                <c:pt idx="95">
                  <c:v>9.4007780489669237</c:v>
                </c:pt>
                <c:pt idx="96">
                  <c:v>26.513886647537994</c:v>
                </c:pt>
                <c:pt idx="97">
                  <c:v>83.148020059243549</c:v>
                </c:pt>
                <c:pt idx="98">
                  <c:v>63.043213444770942</c:v>
                </c:pt>
                <c:pt idx="99">
                  <c:v>33.620624601399619</c:v>
                </c:pt>
                <c:pt idx="100">
                  <c:v>41.077959017044286</c:v>
                </c:pt>
                <c:pt idx="101">
                  <c:v>101.18195608892924</c:v>
                </c:pt>
                <c:pt idx="102">
                  <c:v>0.46809909289314255</c:v>
                </c:pt>
                <c:pt idx="103">
                  <c:v>82.644498414897569</c:v>
                </c:pt>
                <c:pt idx="104">
                  <c:v>38.084145534494297</c:v>
                </c:pt>
                <c:pt idx="105">
                  <c:v>21.56316831648099</c:v>
                </c:pt>
                <c:pt idx="106">
                  <c:v>23.786528388754242</c:v>
                </c:pt>
                <c:pt idx="107">
                  <c:v>70.477666189841912</c:v>
                </c:pt>
                <c:pt idx="108">
                  <c:v>27.938481846797057</c:v>
                </c:pt>
                <c:pt idx="109">
                  <c:v>51.024447398737969</c:v>
                </c:pt>
                <c:pt idx="110">
                  <c:v>-0.78620565955267097</c:v>
                </c:pt>
                <c:pt idx="111">
                  <c:v>41.122440116504215</c:v>
                </c:pt>
                <c:pt idx="112">
                  <c:v>55.350709033618038</c:v>
                </c:pt>
                <c:pt idx="113">
                  <c:v>62.282081381402897</c:v>
                </c:pt>
                <c:pt idx="114">
                  <c:v>49.919183170295405</c:v>
                </c:pt>
                <c:pt idx="115">
                  <c:v>68.854767565164948</c:v>
                </c:pt>
                <c:pt idx="116">
                  <c:v>38.554999697536033</c:v>
                </c:pt>
                <c:pt idx="117">
                  <c:v>149.37902226841447</c:v>
                </c:pt>
                <c:pt idx="118">
                  <c:v>52.460588483467419</c:v>
                </c:pt>
                <c:pt idx="119">
                  <c:v>109.26254838783071</c:v>
                </c:pt>
                <c:pt idx="120">
                  <c:v>24.114518466330139</c:v>
                </c:pt>
                <c:pt idx="121">
                  <c:v>72.136810371048696</c:v>
                </c:pt>
                <c:pt idx="122">
                  <c:v>67.222157559385423</c:v>
                </c:pt>
                <c:pt idx="123">
                  <c:v>56.219927311509068</c:v>
                </c:pt>
                <c:pt idx="124">
                  <c:v>14.61759319789701</c:v>
                </c:pt>
                <c:pt idx="125">
                  <c:v>110.95852779246218</c:v>
                </c:pt>
                <c:pt idx="126">
                  <c:v>44.4818798292157</c:v>
                </c:pt>
                <c:pt idx="127">
                  <c:v>36.395604812077401</c:v>
                </c:pt>
                <c:pt idx="128">
                  <c:v>40.730622286359704</c:v>
                </c:pt>
                <c:pt idx="129">
                  <c:v>126.53684078753514</c:v>
                </c:pt>
                <c:pt idx="130">
                  <c:v>78.301349367524551</c:v>
                </c:pt>
                <c:pt idx="131">
                  <c:v>43.524024198258125</c:v>
                </c:pt>
                <c:pt idx="132">
                  <c:v>30.995544472063333</c:v>
                </c:pt>
                <c:pt idx="133">
                  <c:v>48.662287705037116</c:v>
                </c:pt>
                <c:pt idx="134">
                  <c:v>50.852517449056336</c:v>
                </c:pt>
                <c:pt idx="135">
                  <c:v>59.720631686495501</c:v>
                </c:pt>
                <c:pt idx="136">
                  <c:v>65.311779329388131</c:v>
                </c:pt>
                <c:pt idx="137">
                  <c:v>122.638640591106</c:v>
                </c:pt>
                <c:pt idx="138">
                  <c:v>77.895672075539991</c:v>
                </c:pt>
                <c:pt idx="139">
                  <c:v>68.15411467275527</c:v>
                </c:pt>
                <c:pt idx="140">
                  <c:v>77.897607274388974</c:v>
                </c:pt>
                <c:pt idx="141">
                  <c:v>46.877678810163211</c:v>
                </c:pt>
                <c:pt idx="142">
                  <c:v>27.541769455278036</c:v>
                </c:pt>
                <c:pt idx="143">
                  <c:v>121.88405085751714</c:v>
                </c:pt>
                <c:pt idx="144">
                  <c:v>37.57461024907041</c:v>
                </c:pt>
                <c:pt idx="145">
                  <c:v>48.151127606475846</c:v>
                </c:pt>
                <c:pt idx="146">
                  <c:v>78.877989136511047</c:v>
                </c:pt>
                <c:pt idx="147">
                  <c:v>119.44348596164239</c:v>
                </c:pt>
                <c:pt idx="148">
                  <c:v>67.807662279462804</c:v>
                </c:pt>
                <c:pt idx="149">
                  <c:v>36.335125131360229</c:v>
                </c:pt>
                <c:pt idx="150">
                  <c:v>96.344072016432591</c:v>
                </c:pt>
                <c:pt idx="151">
                  <c:v>36.782862722569909</c:v>
                </c:pt>
                <c:pt idx="152">
                  <c:v>58.618308694342318</c:v>
                </c:pt>
                <c:pt idx="153">
                  <c:v>42.485769716677027</c:v>
                </c:pt>
                <c:pt idx="154">
                  <c:v>87.086670274511249</c:v>
                </c:pt>
                <c:pt idx="155">
                  <c:v>97.480909487462895</c:v>
                </c:pt>
                <c:pt idx="156">
                  <c:v>62.106155122974855</c:v>
                </c:pt>
                <c:pt idx="157">
                  <c:v>56.577428883965709</c:v>
                </c:pt>
                <c:pt idx="158">
                  <c:v>54.556536950137613</c:v>
                </c:pt>
                <c:pt idx="159">
                  <c:v>84.173264775959836</c:v>
                </c:pt>
                <c:pt idx="160">
                  <c:v>50.531532648394375</c:v>
                </c:pt>
                <c:pt idx="161">
                  <c:v>588.79460571257141</c:v>
                </c:pt>
                <c:pt idx="162">
                  <c:v>35.422844957371552</c:v>
                </c:pt>
                <c:pt idx="163">
                  <c:v>66.597683315531881</c:v>
                </c:pt>
                <c:pt idx="164">
                  <c:v>76.308239050200484</c:v>
                </c:pt>
                <c:pt idx="165">
                  <c:v>76.046101782347961</c:v>
                </c:pt>
                <c:pt idx="166">
                  <c:v>-10.1792554357705</c:v>
                </c:pt>
                <c:pt idx="167">
                  <c:v>111.89178715394685</c:v>
                </c:pt>
                <c:pt idx="168">
                  <c:v>25.65639567087527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4B49-4196-BED6-49AB6B94EFC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496370208"/>
        <c:axId val="1496369728"/>
      </c:scatterChart>
      <c:valAx>
        <c:axId val="1496370208"/>
        <c:scaling>
          <c:orientation val="minMax"/>
          <c:max val="7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ln>
                      <a:noFill/>
                    </a:ln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cs-CZ" sz="8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cs typeface="Arial" panose="020B0604020202020204" pitchFamily="34" charset="0"/>
                  </a:rPr>
                  <a:t>Postavení v GPN</a:t>
                </a:r>
              </a:p>
            </c:rich>
          </c:tx>
          <c:layout>
            <c:manualLayout>
              <c:xMode val="edge"/>
              <c:yMode val="edge"/>
              <c:x val="0.28908766404199476"/>
              <c:y val="0.96270630162055426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ln>
                    <a:noFill/>
                  </a:ln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cs-CZ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ln>
                  <a:noFill/>
                </a:ln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cs-CZ"/>
          </a:p>
        </c:txPr>
        <c:crossAx val="1496369728"/>
        <c:crossesAt val="-50"/>
        <c:crossBetween val="midCat"/>
      </c:valAx>
      <c:valAx>
        <c:axId val="1496369728"/>
        <c:scaling>
          <c:orientation val="minMax"/>
          <c:max val="15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ln>
                      <a:noFill/>
                    </a:ln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cs-CZ" sz="8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cs typeface="Arial" panose="020B0604020202020204" pitchFamily="34" charset="0"/>
                  </a:rPr>
                  <a:t>Hodnota vytvořená</a:t>
                </a:r>
              </a:p>
            </c:rich>
          </c:tx>
          <c:layout>
            <c:manualLayout>
              <c:xMode val="edge"/>
              <c:yMode val="edge"/>
              <c:x val="2.2222222222222222E-3"/>
              <c:y val="0.39213874641816554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ln>
                    <a:noFill/>
                  </a:ln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cs-CZ"/>
            </a:p>
          </c:txPr>
        </c:title>
        <c:numFmt formatCode="0.0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ln>
                  <a:noFill/>
                </a:ln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cs-CZ"/>
          </a:p>
        </c:txPr>
        <c:crossAx val="1496370208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ln>
            <a:noFill/>
          </a:ln>
        </a:defRPr>
      </a:pPr>
      <a:endParaRPr lang="cs-CZ"/>
    </a:p>
  </c:txPr>
  <c:externalData r:id="rId3">
    <c:autoUpdate val="0"/>
  </c:externalData>
  <c:userShapes r:id="rId4"/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cs-CZ" sz="1050" b="1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Graf 26: Hodnota</a:t>
            </a:r>
            <a:r>
              <a:rPr lang="cs-CZ" sz="1050" b="1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 udržená podle postavení subjektů v GPN</a:t>
            </a:r>
            <a:endParaRPr lang="cs-CZ" sz="1050" b="1">
              <a:solidFill>
                <a:schemeClr val="tx1"/>
              </a:solidFill>
              <a:latin typeface="Arial" panose="020B0604020202020204" pitchFamily="34" charset="0"/>
              <a:cs typeface="Arial" panose="020B0604020202020204" pitchFamily="34" charset="0"/>
            </a:endParaRPr>
          </a:p>
        </c:rich>
      </c:tx>
      <c:layout>
        <c:manualLayout>
          <c:xMode val="edge"/>
          <c:yMode val="edge"/>
          <c:x val="1.0347856517935254E-2"/>
          <c:y val="1.0906610242001688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cs-CZ"/>
        </a:p>
      </c:txPr>
    </c:title>
    <c:autoTitleDeleted val="0"/>
    <c:plotArea>
      <c:layout>
        <c:manualLayout>
          <c:layoutTarget val="inner"/>
          <c:xMode val="edge"/>
          <c:yMode val="edge"/>
          <c:x val="9.0706036745406837E-2"/>
          <c:y val="7.5197132616487458E-2"/>
          <c:w val="0.55018285214348206"/>
          <c:h val="0.85219512759142979"/>
        </c:manualLayout>
      </c:layout>
      <c:scatterChart>
        <c:scatterStyle val="lineMarker"/>
        <c:varyColors val="0"/>
        <c:ser>
          <c:idx val="0"/>
          <c:order val="0"/>
          <c:spPr>
            <a:ln w="25400" cap="rnd">
              <a:noFill/>
              <a:round/>
            </a:ln>
            <a:effectLst/>
          </c:spPr>
          <c:marker>
            <c:symbol val="circle"/>
            <c:size val="7"/>
            <c:spPr>
              <a:solidFill>
                <a:schemeClr val="accent5">
                  <a:lumMod val="40000"/>
                  <a:lumOff val="60000"/>
                </a:schemeClr>
              </a:solidFill>
              <a:ln w="9525">
                <a:solidFill>
                  <a:schemeClr val="accent5">
                    <a:lumMod val="75000"/>
                  </a:schemeClr>
                </a:solidFill>
              </a:ln>
              <a:effectLst/>
            </c:spPr>
          </c:marker>
          <c:xVal>
            <c:numRef>
              <c:f>'Grafy 1'!$I$2:$I$170</c:f>
              <c:numCache>
                <c:formatCode>General</c:formatCode>
                <c:ptCount val="169"/>
                <c:pt idx="0">
                  <c:v>1</c:v>
                </c:pt>
                <c:pt idx="1">
                  <c:v>1</c:v>
                </c:pt>
                <c:pt idx="2">
                  <c:v>1</c:v>
                </c:pt>
                <c:pt idx="3">
                  <c:v>2</c:v>
                </c:pt>
                <c:pt idx="4">
                  <c:v>2</c:v>
                </c:pt>
                <c:pt idx="5">
                  <c:v>2</c:v>
                </c:pt>
                <c:pt idx="6">
                  <c:v>2</c:v>
                </c:pt>
                <c:pt idx="7">
                  <c:v>2</c:v>
                </c:pt>
                <c:pt idx="8">
                  <c:v>2</c:v>
                </c:pt>
                <c:pt idx="9">
                  <c:v>2</c:v>
                </c:pt>
                <c:pt idx="10">
                  <c:v>2</c:v>
                </c:pt>
                <c:pt idx="11">
                  <c:v>2</c:v>
                </c:pt>
                <c:pt idx="12">
                  <c:v>2</c:v>
                </c:pt>
                <c:pt idx="13">
                  <c:v>2</c:v>
                </c:pt>
                <c:pt idx="14">
                  <c:v>2</c:v>
                </c:pt>
                <c:pt idx="15">
                  <c:v>2</c:v>
                </c:pt>
                <c:pt idx="16">
                  <c:v>2</c:v>
                </c:pt>
                <c:pt idx="17">
                  <c:v>2</c:v>
                </c:pt>
                <c:pt idx="18">
                  <c:v>2</c:v>
                </c:pt>
                <c:pt idx="19">
                  <c:v>2</c:v>
                </c:pt>
                <c:pt idx="20">
                  <c:v>2</c:v>
                </c:pt>
                <c:pt idx="21">
                  <c:v>2</c:v>
                </c:pt>
                <c:pt idx="22">
                  <c:v>2</c:v>
                </c:pt>
                <c:pt idx="23">
                  <c:v>2</c:v>
                </c:pt>
                <c:pt idx="24">
                  <c:v>2</c:v>
                </c:pt>
                <c:pt idx="25">
                  <c:v>2</c:v>
                </c:pt>
                <c:pt idx="26">
                  <c:v>3</c:v>
                </c:pt>
                <c:pt idx="27">
                  <c:v>3</c:v>
                </c:pt>
                <c:pt idx="28">
                  <c:v>3</c:v>
                </c:pt>
                <c:pt idx="29">
                  <c:v>3</c:v>
                </c:pt>
                <c:pt idx="30">
                  <c:v>3</c:v>
                </c:pt>
                <c:pt idx="31">
                  <c:v>3</c:v>
                </c:pt>
                <c:pt idx="32">
                  <c:v>3</c:v>
                </c:pt>
                <c:pt idx="33">
                  <c:v>3</c:v>
                </c:pt>
                <c:pt idx="34">
                  <c:v>3</c:v>
                </c:pt>
                <c:pt idx="35">
                  <c:v>3</c:v>
                </c:pt>
                <c:pt idx="36">
                  <c:v>3</c:v>
                </c:pt>
                <c:pt idx="37">
                  <c:v>3</c:v>
                </c:pt>
                <c:pt idx="38">
                  <c:v>4</c:v>
                </c:pt>
                <c:pt idx="39">
                  <c:v>4</c:v>
                </c:pt>
                <c:pt idx="40">
                  <c:v>4</c:v>
                </c:pt>
                <c:pt idx="41">
                  <c:v>4</c:v>
                </c:pt>
                <c:pt idx="42">
                  <c:v>4</c:v>
                </c:pt>
                <c:pt idx="43">
                  <c:v>4</c:v>
                </c:pt>
                <c:pt idx="44">
                  <c:v>4</c:v>
                </c:pt>
                <c:pt idx="45">
                  <c:v>4</c:v>
                </c:pt>
                <c:pt idx="46">
                  <c:v>4</c:v>
                </c:pt>
                <c:pt idx="47">
                  <c:v>4</c:v>
                </c:pt>
                <c:pt idx="48">
                  <c:v>4</c:v>
                </c:pt>
                <c:pt idx="49">
                  <c:v>4</c:v>
                </c:pt>
                <c:pt idx="50">
                  <c:v>4</c:v>
                </c:pt>
                <c:pt idx="51">
                  <c:v>4</c:v>
                </c:pt>
                <c:pt idx="52">
                  <c:v>4</c:v>
                </c:pt>
                <c:pt idx="53">
                  <c:v>4</c:v>
                </c:pt>
                <c:pt idx="54">
                  <c:v>4</c:v>
                </c:pt>
                <c:pt idx="55">
                  <c:v>4</c:v>
                </c:pt>
                <c:pt idx="56">
                  <c:v>4</c:v>
                </c:pt>
                <c:pt idx="57">
                  <c:v>4</c:v>
                </c:pt>
                <c:pt idx="58">
                  <c:v>4</c:v>
                </c:pt>
                <c:pt idx="59">
                  <c:v>4</c:v>
                </c:pt>
                <c:pt idx="60">
                  <c:v>4</c:v>
                </c:pt>
                <c:pt idx="61">
                  <c:v>4</c:v>
                </c:pt>
                <c:pt idx="62">
                  <c:v>4</c:v>
                </c:pt>
                <c:pt idx="63">
                  <c:v>4</c:v>
                </c:pt>
                <c:pt idx="64">
                  <c:v>4</c:v>
                </c:pt>
                <c:pt idx="65">
                  <c:v>4</c:v>
                </c:pt>
                <c:pt idx="66">
                  <c:v>4</c:v>
                </c:pt>
                <c:pt idx="67">
                  <c:v>4</c:v>
                </c:pt>
                <c:pt idx="68">
                  <c:v>4</c:v>
                </c:pt>
                <c:pt idx="69">
                  <c:v>5</c:v>
                </c:pt>
                <c:pt idx="70">
                  <c:v>5</c:v>
                </c:pt>
                <c:pt idx="71">
                  <c:v>5</c:v>
                </c:pt>
                <c:pt idx="72">
                  <c:v>5</c:v>
                </c:pt>
                <c:pt idx="73">
                  <c:v>5</c:v>
                </c:pt>
                <c:pt idx="74">
                  <c:v>5</c:v>
                </c:pt>
                <c:pt idx="75">
                  <c:v>5</c:v>
                </c:pt>
                <c:pt idx="76">
                  <c:v>5</c:v>
                </c:pt>
                <c:pt idx="77">
                  <c:v>5</c:v>
                </c:pt>
                <c:pt idx="78">
                  <c:v>5</c:v>
                </c:pt>
                <c:pt idx="79">
                  <c:v>5</c:v>
                </c:pt>
                <c:pt idx="80">
                  <c:v>5</c:v>
                </c:pt>
                <c:pt idx="81">
                  <c:v>5</c:v>
                </c:pt>
                <c:pt idx="82">
                  <c:v>5</c:v>
                </c:pt>
                <c:pt idx="83">
                  <c:v>5</c:v>
                </c:pt>
                <c:pt idx="84">
                  <c:v>5</c:v>
                </c:pt>
                <c:pt idx="85">
                  <c:v>5</c:v>
                </c:pt>
                <c:pt idx="86">
                  <c:v>5</c:v>
                </c:pt>
                <c:pt idx="87">
                  <c:v>5</c:v>
                </c:pt>
                <c:pt idx="88">
                  <c:v>5</c:v>
                </c:pt>
                <c:pt idx="89">
                  <c:v>5</c:v>
                </c:pt>
                <c:pt idx="90">
                  <c:v>5</c:v>
                </c:pt>
                <c:pt idx="91">
                  <c:v>5</c:v>
                </c:pt>
                <c:pt idx="92">
                  <c:v>6</c:v>
                </c:pt>
                <c:pt idx="93">
                  <c:v>6</c:v>
                </c:pt>
                <c:pt idx="94">
                  <c:v>6</c:v>
                </c:pt>
                <c:pt idx="95">
                  <c:v>6</c:v>
                </c:pt>
                <c:pt idx="96">
                  <c:v>6</c:v>
                </c:pt>
                <c:pt idx="97">
                  <c:v>6</c:v>
                </c:pt>
                <c:pt idx="98">
                  <c:v>6</c:v>
                </c:pt>
                <c:pt idx="99">
                  <c:v>6</c:v>
                </c:pt>
                <c:pt idx="100">
                  <c:v>6</c:v>
                </c:pt>
                <c:pt idx="101">
                  <c:v>6</c:v>
                </c:pt>
                <c:pt idx="102">
                  <c:v>6</c:v>
                </c:pt>
                <c:pt idx="103">
                  <c:v>6</c:v>
                </c:pt>
                <c:pt idx="104">
                  <c:v>6</c:v>
                </c:pt>
                <c:pt idx="105">
                  <c:v>6</c:v>
                </c:pt>
                <c:pt idx="106">
                  <c:v>6</c:v>
                </c:pt>
                <c:pt idx="107">
                  <c:v>6</c:v>
                </c:pt>
                <c:pt idx="108">
                  <c:v>6</c:v>
                </c:pt>
                <c:pt idx="109">
                  <c:v>6</c:v>
                </c:pt>
                <c:pt idx="110">
                  <c:v>6</c:v>
                </c:pt>
                <c:pt idx="111">
                  <c:v>6</c:v>
                </c:pt>
                <c:pt idx="112">
                  <c:v>6</c:v>
                </c:pt>
                <c:pt idx="113">
                  <c:v>6</c:v>
                </c:pt>
                <c:pt idx="114">
                  <c:v>6</c:v>
                </c:pt>
                <c:pt idx="115">
                  <c:v>6</c:v>
                </c:pt>
                <c:pt idx="116">
                  <c:v>6</c:v>
                </c:pt>
                <c:pt idx="117">
                  <c:v>6</c:v>
                </c:pt>
                <c:pt idx="118">
                  <c:v>6</c:v>
                </c:pt>
                <c:pt idx="119">
                  <c:v>6</c:v>
                </c:pt>
                <c:pt idx="120">
                  <c:v>6</c:v>
                </c:pt>
                <c:pt idx="121">
                  <c:v>6</c:v>
                </c:pt>
                <c:pt idx="122">
                  <c:v>6</c:v>
                </c:pt>
                <c:pt idx="123">
                  <c:v>6</c:v>
                </c:pt>
                <c:pt idx="124">
                  <c:v>6</c:v>
                </c:pt>
                <c:pt idx="125">
                  <c:v>6</c:v>
                </c:pt>
                <c:pt idx="126">
                  <c:v>6</c:v>
                </c:pt>
                <c:pt idx="127">
                  <c:v>6</c:v>
                </c:pt>
                <c:pt idx="128">
                  <c:v>6</c:v>
                </c:pt>
                <c:pt idx="129">
                  <c:v>6</c:v>
                </c:pt>
                <c:pt idx="130">
                  <c:v>6</c:v>
                </c:pt>
                <c:pt idx="131">
                  <c:v>6</c:v>
                </c:pt>
                <c:pt idx="132">
                  <c:v>6</c:v>
                </c:pt>
                <c:pt idx="133">
                  <c:v>6</c:v>
                </c:pt>
                <c:pt idx="134">
                  <c:v>6</c:v>
                </c:pt>
                <c:pt idx="135">
                  <c:v>6</c:v>
                </c:pt>
                <c:pt idx="136">
                  <c:v>6</c:v>
                </c:pt>
                <c:pt idx="137">
                  <c:v>6</c:v>
                </c:pt>
                <c:pt idx="138">
                  <c:v>6</c:v>
                </c:pt>
                <c:pt idx="139">
                  <c:v>6</c:v>
                </c:pt>
                <c:pt idx="140">
                  <c:v>6</c:v>
                </c:pt>
                <c:pt idx="141">
                  <c:v>6</c:v>
                </c:pt>
                <c:pt idx="142">
                  <c:v>6</c:v>
                </c:pt>
                <c:pt idx="143">
                  <c:v>6</c:v>
                </c:pt>
                <c:pt idx="144">
                  <c:v>6</c:v>
                </c:pt>
                <c:pt idx="145">
                  <c:v>6</c:v>
                </c:pt>
                <c:pt idx="146">
                  <c:v>6</c:v>
                </c:pt>
                <c:pt idx="147">
                  <c:v>7</c:v>
                </c:pt>
                <c:pt idx="148">
                  <c:v>7</c:v>
                </c:pt>
                <c:pt idx="149">
                  <c:v>7</c:v>
                </c:pt>
                <c:pt idx="150">
                  <c:v>7</c:v>
                </c:pt>
                <c:pt idx="151">
                  <c:v>7</c:v>
                </c:pt>
                <c:pt idx="152">
                  <c:v>7</c:v>
                </c:pt>
                <c:pt idx="153">
                  <c:v>7</c:v>
                </c:pt>
                <c:pt idx="154">
                  <c:v>7</c:v>
                </c:pt>
                <c:pt idx="155">
                  <c:v>7</c:v>
                </c:pt>
                <c:pt idx="156">
                  <c:v>7</c:v>
                </c:pt>
                <c:pt idx="157">
                  <c:v>7</c:v>
                </c:pt>
                <c:pt idx="158">
                  <c:v>7</c:v>
                </c:pt>
                <c:pt idx="159">
                  <c:v>7</c:v>
                </c:pt>
                <c:pt idx="160">
                  <c:v>7</c:v>
                </c:pt>
                <c:pt idx="161">
                  <c:v>7</c:v>
                </c:pt>
                <c:pt idx="162">
                  <c:v>7</c:v>
                </c:pt>
                <c:pt idx="163">
                  <c:v>7</c:v>
                </c:pt>
                <c:pt idx="164">
                  <c:v>7</c:v>
                </c:pt>
                <c:pt idx="165">
                  <c:v>7</c:v>
                </c:pt>
                <c:pt idx="166">
                  <c:v>7</c:v>
                </c:pt>
                <c:pt idx="167">
                  <c:v>7</c:v>
                </c:pt>
                <c:pt idx="168">
                  <c:v>7</c:v>
                </c:pt>
              </c:numCache>
            </c:numRef>
          </c:xVal>
          <c:yVal>
            <c:numRef>
              <c:f>'Grafy 1'!$AA$2:$AA$170</c:f>
              <c:numCache>
                <c:formatCode>0.0</c:formatCode>
                <c:ptCount val="169"/>
                <c:pt idx="0">
                  <c:v>32.97655319206293</c:v>
                </c:pt>
                <c:pt idx="1">
                  <c:v>31.651651824906658</c:v>
                </c:pt>
                <c:pt idx="2">
                  <c:v>21.414589198439089</c:v>
                </c:pt>
                <c:pt idx="3">
                  <c:v>38.247811309295948</c:v>
                </c:pt>
                <c:pt idx="4">
                  <c:v>14.161176607970026</c:v>
                </c:pt>
                <c:pt idx="5">
                  <c:v>61.285760676375844</c:v>
                </c:pt>
                <c:pt idx="6">
                  <c:v>49.194433247627344</c:v>
                </c:pt>
                <c:pt idx="7">
                  <c:v>85.016873974011119</c:v>
                </c:pt>
                <c:pt idx="8">
                  <c:v>29.153549463150217</c:v>
                </c:pt>
                <c:pt idx="9">
                  <c:v>86.828277700215764</c:v>
                </c:pt>
                <c:pt idx="10">
                  <c:v>34.596472780827781</c:v>
                </c:pt>
                <c:pt idx="11">
                  <c:v>13.555992141453832</c:v>
                </c:pt>
                <c:pt idx="12">
                  <c:v>24.984185631927772</c:v>
                </c:pt>
                <c:pt idx="13">
                  <c:v>20.310861784817181</c:v>
                </c:pt>
                <c:pt idx="14">
                  <c:v>59.938068231224818</c:v>
                </c:pt>
                <c:pt idx="15">
                  <c:v>35.650101737972548</c:v>
                </c:pt>
                <c:pt idx="16">
                  <c:v>39.486978837013936</c:v>
                </c:pt>
                <c:pt idx="17">
                  <c:v>28.394420167185018</c:v>
                </c:pt>
                <c:pt idx="18">
                  <c:v>22.250778393297882</c:v>
                </c:pt>
                <c:pt idx="19">
                  <c:v>37.700072753728627</c:v>
                </c:pt>
                <c:pt idx="20">
                  <c:v>53.446892155950508</c:v>
                </c:pt>
                <c:pt idx="21">
                  <c:v>61.424238764308818</c:v>
                </c:pt>
                <c:pt idx="22">
                  <c:v>17.593656097362896</c:v>
                </c:pt>
                <c:pt idx="23">
                  <c:v>7.4696860616749667</c:v>
                </c:pt>
                <c:pt idx="24">
                  <c:v>28.720878805627606</c:v>
                </c:pt>
                <c:pt idx="25">
                  <c:v>32.584841810502247</c:v>
                </c:pt>
                <c:pt idx="26">
                  <c:v>41.74507786662663</c:v>
                </c:pt>
                <c:pt idx="27">
                  <c:v>26.405046182377397</c:v>
                </c:pt>
                <c:pt idx="28">
                  <c:v>21.639850179612282</c:v>
                </c:pt>
                <c:pt idx="29">
                  <c:v>33.46241405300642</c:v>
                </c:pt>
                <c:pt idx="30">
                  <c:v>73.573918848750097</c:v>
                </c:pt>
                <c:pt idx="31">
                  <c:v>24.702969512790791</c:v>
                </c:pt>
                <c:pt idx="32">
                  <c:v>56.082273228974486</c:v>
                </c:pt>
                <c:pt idx="33">
                  <c:v>27.898052814628628</c:v>
                </c:pt>
                <c:pt idx="34">
                  <c:v>17.155195597296451</c:v>
                </c:pt>
                <c:pt idx="35">
                  <c:v>6.8500666125888818</c:v>
                </c:pt>
                <c:pt idx="36">
                  <c:v>8.904118989410625</c:v>
                </c:pt>
                <c:pt idx="37">
                  <c:v>19.668027440488693</c:v>
                </c:pt>
                <c:pt idx="38">
                  <c:v>13.421006344680682</c:v>
                </c:pt>
                <c:pt idx="39">
                  <c:v>22.966603942809911</c:v>
                </c:pt>
                <c:pt idx="40">
                  <c:v>12.671751976487787</c:v>
                </c:pt>
                <c:pt idx="41">
                  <c:v>91.602288607060927</c:v>
                </c:pt>
                <c:pt idx="42">
                  <c:v>79.011354374298932</c:v>
                </c:pt>
                <c:pt idx="43">
                  <c:v>25.210626945163206</c:v>
                </c:pt>
                <c:pt idx="44">
                  <c:v>10.250511606890921</c:v>
                </c:pt>
                <c:pt idx="45">
                  <c:v>6.7165733094000375</c:v>
                </c:pt>
                <c:pt idx="46">
                  <c:v>70.369869738124549</c:v>
                </c:pt>
                <c:pt idx="47">
                  <c:v>83.744139057639529</c:v>
                </c:pt>
                <c:pt idx="48">
                  <c:v>35.355239834539212</c:v>
                </c:pt>
                <c:pt idx="49">
                  <c:v>80.897150641986613</c:v>
                </c:pt>
                <c:pt idx="50">
                  <c:v>15.622458222419404</c:v>
                </c:pt>
                <c:pt idx="51">
                  <c:v>67.247972386098283</c:v>
                </c:pt>
                <c:pt idx="52">
                  <c:v>28.767697243459804</c:v>
                </c:pt>
                <c:pt idx="53">
                  <c:v>85.141440918004221</c:v>
                </c:pt>
                <c:pt idx="54">
                  <c:v>17.895440695757799</c:v>
                </c:pt>
                <c:pt idx="55">
                  <c:v>59.739204457514319</c:v>
                </c:pt>
                <c:pt idx="56">
                  <c:v>23.811113733572043</c:v>
                </c:pt>
                <c:pt idx="57">
                  <c:v>33.276742999059451</c:v>
                </c:pt>
                <c:pt idx="58">
                  <c:v>35.388136291551923</c:v>
                </c:pt>
                <c:pt idx="59">
                  <c:v>25.86058184036553</c:v>
                </c:pt>
                <c:pt idx="60">
                  <c:v>26.582584348377342</c:v>
                </c:pt>
                <c:pt idx="61">
                  <c:v>34.319330483579009</c:v>
                </c:pt>
                <c:pt idx="62">
                  <c:v>38.82307232726918</c:v>
                </c:pt>
                <c:pt idx="63">
                  <c:v>23.985875986946848</c:v>
                </c:pt>
                <c:pt idx="64">
                  <c:v>28.101561546833718</c:v>
                </c:pt>
                <c:pt idx="65">
                  <c:v>26.863755763477212</c:v>
                </c:pt>
                <c:pt idx="66">
                  <c:v>29.25130764884014</c:v>
                </c:pt>
                <c:pt idx="67">
                  <c:v>28.633704213490443</c:v>
                </c:pt>
                <c:pt idx="68">
                  <c:v>25.293456662090371</c:v>
                </c:pt>
                <c:pt idx="69">
                  <c:v>23.792027181857687</c:v>
                </c:pt>
                <c:pt idx="70">
                  <c:v>63.400800554447606</c:v>
                </c:pt>
                <c:pt idx="71">
                  <c:v>59.921410424634971</c:v>
                </c:pt>
                <c:pt idx="72">
                  <c:v>60.624402106373665</c:v>
                </c:pt>
                <c:pt idx="73">
                  <c:v>37.619451738559079</c:v>
                </c:pt>
                <c:pt idx="74">
                  <c:v>52.695432332855447</c:v>
                </c:pt>
                <c:pt idx="75">
                  <c:v>26.037564019907613</c:v>
                </c:pt>
                <c:pt idx="76">
                  <c:v>56.998367232348016</c:v>
                </c:pt>
                <c:pt idx="77">
                  <c:v>44.706599737455825</c:v>
                </c:pt>
                <c:pt idx="78">
                  <c:v>22.050668472442094</c:v>
                </c:pt>
                <c:pt idx="79">
                  <c:v>16.605494189341169</c:v>
                </c:pt>
                <c:pt idx="80">
                  <c:v>30.783823307720496</c:v>
                </c:pt>
                <c:pt idx="81">
                  <c:v>37.419204176090958</c:v>
                </c:pt>
                <c:pt idx="82">
                  <c:v>38.170200356799782</c:v>
                </c:pt>
                <c:pt idx="83">
                  <c:v>32.787376640944444</c:v>
                </c:pt>
                <c:pt idx="84">
                  <c:v>35.166888426539906</c:v>
                </c:pt>
                <c:pt idx="85">
                  <c:v>25.943516241200914</c:v>
                </c:pt>
                <c:pt idx="86">
                  <c:v>24.3422820223042</c:v>
                </c:pt>
                <c:pt idx="87">
                  <c:v>62.527379435086878</c:v>
                </c:pt>
                <c:pt idx="88">
                  <c:v>46.110921441437199</c:v>
                </c:pt>
                <c:pt idx="89">
                  <c:v>33.350971606133612</c:v>
                </c:pt>
                <c:pt idx="90">
                  <c:v>33.968979478196303</c:v>
                </c:pt>
                <c:pt idx="91">
                  <c:v>58.531691924110795</c:v>
                </c:pt>
                <c:pt idx="92">
                  <c:v>24.194675424498637</c:v>
                </c:pt>
                <c:pt idx="93">
                  <c:v>34.994552254188875</c:v>
                </c:pt>
                <c:pt idx="94">
                  <c:v>58.935433190103922</c:v>
                </c:pt>
                <c:pt idx="95">
                  <c:v>39.081819064345034</c:v>
                </c:pt>
                <c:pt idx="96">
                  <c:v>25.239362972159878</c:v>
                </c:pt>
                <c:pt idx="97">
                  <c:v>48.704677000864883</c:v>
                </c:pt>
                <c:pt idx="98">
                  <c:v>31.366076887801899</c:v>
                </c:pt>
                <c:pt idx="99">
                  <c:v>41.083089967463792</c:v>
                </c:pt>
                <c:pt idx="100">
                  <c:v>22.899007994866171</c:v>
                </c:pt>
                <c:pt idx="101">
                  <c:v>22.708355723227555</c:v>
                </c:pt>
                <c:pt idx="102">
                  <c:v>40.409733153436775</c:v>
                </c:pt>
                <c:pt idx="103">
                  <c:v>53.168946779170419</c:v>
                </c:pt>
                <c:pt idx="104">
                  <c:v>47.791891774452864</c:v>
                </c:pt>
                <c:pt idx="105">
                  <c:v>91.85227290922775</c:v>
                </c:pt>
                <c:pt idx="106">
                  <c:v>56.706626219801905</c:v>
                </c:pt>
                <c:pt idx="107">
                  <c:v>37.325593813409725</c:v>
                </c:pt>
                <c:pt idx="108">
                  <c:v>43.919179078480148</c:v>
                </c:pt>
                <c:pt idx="109">
                  <c:v>29.073508871760385</c:v>
                </c:pt>
                <c:pt idx="110">
                  <c:v>19.31618481827654</c:v>
                </c:pt>
                <c:pt idx="111">
                  <c:v>51.41441603810123</c:v>
                </c:pt>
                <c:pt idx="112">
                  <c:v>31.998166692129278</c:v>
                </c:pt>
                <c:pt idx="113">
                  <c:v>41.129287445144847</c:v>
                </c:pt>
                <c:pt idx="114">
                  <c:v>37.821510297482838</c:v>
                </c:pt>
                <c:pt idx="115">
                  <c:v>52.056400697492634</c:v>
                </c:pt>
                <c:pt idx="116">
                  <c:v>42.786712055405566</c:v>
                </c:pt>
                <c:pt idx="117">
                  <c:v>40.199475848020761</c:v>
                </c:pt>
                <c:pt idx="118">
                  <c:v>57.151804439214651</c:v>
                </c:pt>
                <c:pt idx="119">
                  <c:v>53.142874300040532</c:v>
                </c:pt>
                <c:pt idx="120">
                  <c:v>30.230442534919863</c:v>
                </c:pt>
                <c:pt idx="121">
                  <c:v>45.356903110315507</c:v>
                </c:pt>
                <c:pt idx="122">
                  <c:v>48.117046529475807</c:v>
                </c:pt>
                <c:pt idx="123">
                  <c:v>42.551811661048028</c:v>
                </c:pt>
                <c:pt idx="124">
                  <c:v>10.680364612147189</c:v>
                </c:pt>
                <c:pt idx="125">
                  <c:v>52.008621415934172</c:v>
                </c:pt>
                <c:pt idx="126">
                  <c:v>23.039676153543489</c:v>
                </c:pt>
                <c:pt idx="127">
                  <c:v>39.137870858112407</c:v>
                </c:pt>
                <c:pt idx="128">
                  <c:v>9.1724407516607052</c:v>
                </c:pt>
                <c:pt idx="129">
                  <c:v>58.84488267552895</c:v>
                </c:pt>
                <c:pt idx="130">
                  <c:v>30.682848841678069</c:v>
                </c:pt>
                <c:pt idx="131">
                  <c:v>66.035979380932815</c:v>
                </c:pt>
                <c:pt idx="132">
                  <c:v>47.84702477010169</c:v>
                </c:pt>
                <c:pt idx="133">
                  <c:v>11.951106205726827</c:v>
                </c:pt>
                <c:pt idx="134">
                  <c:v>28.129037485875834</c:v>
                </c:pt>
                <c:pt idx="135">
                  <c:v>31.316412803895119</c:v>
                </c:pt>
                <c:pt idx="136">
                  <c:v>36.836802095811734</c:v>
                </c:pt>
                <c:pt idx="137">
                  <c:v>36.223405630560912</c:v>
                </c:pt>
                <c:pt idx="138">
                  <c:v>34.209520068678515</c:v>
                </c:pt>
                <c:pt idx="139">
                  <c:v>31.607493862503766</c:v>
                </c:pt>
                <c:pt idx="140">
                  <c:v>41.414290860436388</c:v>
                </c:pt>
                <c:pt idx="141">
                  <c:v>41.359126034906822</c:v>
                </c:pt>
                <c:pt idx="142">
                  <c:v>32.127385493810273</c:v>
                </c:pt>
                <c:pt idx="143">
                  <c:v>92.525037766463385</c:v>
                </c:pt>
                <c:pt idx="144">
                  <c:v>46.088196324145223</c:v>
                </c:pt>
                <c:pt idx="145">
                  <c:v>57.033942463273945</c:v>
                </c:pt>
                <c:pt idx="146">
                  <c:v>53.418449777357445</c:v>
                </c:pt>
                <c:pt idx="147">
                  <c:v>36.131490134098954</c:v>
                </c:pt>
                <c:pt idx="148">
                  <c:v>32.829242504983938</c:v>
                </c:pt>
                <c:pt idx="149">
                  <c:v>39.733913715027903</c:v>
                </c:pt>
                <c:pt idx="150">
                  <c:v>41.077557061022446</c:v>
                </c:pt>
                <c:pt idx="151">
                  <c:v>41.324311261478975</c:v>
                </c:pt>
                <c:pt idx="152">
                  <c:v>27.632016086728449</c:v>
                </c:pt>
                <c:pt idx="153">
                  <c:v>52.666484865012272</c:v>
                </c:pt>
                <c:pt idx="154">
                  <c:v>30.35353068621713</c:v>
                </c:pt>
                <c:pt idx="155">
                  <c:v>19.980074365315161</c:v>
                </c:pt>
                <c:pt idx="156">
                  <c:v>59.718751531187223</c:v>
                </c:pt>
                <c:pt idx="157">
                  <c:v>69.189917410234898</c:v>
                </c:pt>
                <c:pt idx="158">
                  <c:v>6.8187427164964376</c:v>
                </c:pt>
                <c:pt idx="159">
                  <c:v>30.325306885051244</c:v>
                </c:pt>
                <c:pt idx="160">
                  <c:v>80.025608194622279</c:v>
                </c:pt>
                <c:pt idx="161">
                  <c:v>8.6928712366530405</c:v>
                </c:pt>
                <c:pt idx="162">
                  <c:v>49.43856756348773</c:v>
                </c:pt>
                <c:pt idx="163">
                  <c:v>27.057199958251026</c:v>
                </c:pt>
                <c:pt idx="164">
                  <c:v>61.92909264207254</c:v>
                </c:pt>
                <c:pt idx="165">
                  <c:v>74.239306566526921</c:v>
                </c:pt>
                <c:pt idx="166">
                  <c:v>51.970877388239664</c:v>
                </c:pt>
                <c:pt idx="167">
                  <c:v>47.556582454853071</c:v>
                </c:pt>
                <c:pt idx="168">
                  <c:v>17.447100228560529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4219-4FFF-9243-E254619E3E4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496370208"/>
        <c:axId val="1496369728"/>
      </c:scatterChart>
      <c:valAx>
        <c:axId val="1496370208"/>
        <c:scaling>
          <c:orientation val="minMax"/>
          <c:max val="7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cs-CZ" sz="800">
                    <a:solidFill>
                      <a:sysClr val="windowText" lastClr="000000"/>
                    </a:solidFill>
                    <a:latin typeface="Arial" panose="020B0604020202020204" pitchFamily="34" charset="0"/>
                    <a:cs typeface="Arial" panose="020B0604020202020204" pitchFamily="34" charset="0"/>
                  </a:rPr>
                  <a:t>Postavení v GPN</a:t>
                </a:r>
              </a:p>
            </c:rich>
          </c:tx>
          <c:layout>
            <c:manualLayout>
              <c:xMode val="edge"/>
              <c:yMode val="edge"/>
              <c:x val="0.29316412948381454"/>
              <c:y val="0.96418490640211829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cs-CZ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cs-CZ"/>
          </a:p>
        </c:txPr>
        <c:crossAx val="1496369728"/>
        <c:crossesAt val="-50"/>
        <c:crossBetween val="midCat"/>
      </c:valAx>
      <c:valAx>
        <c:axId val="1496369728"/>
        <c:scaling>
          <c:orientation val="minMax"/>
          <c:max val="150"/>
          <c:min val="-5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r>
                  <a:rPr lang="cs-CZ" sz="800">
                    <a:solidFill>
                      <a:sysClr val="windowText" lastClr="000000"/>
                    </a:solidFill>
                    <a:latin typeface="Arial" panose="020B0604020202020204" pitchFamily="34" charset="0"/>
                    <a:cs typeface="Arial" panose="020B0604020202020204" pitchFamily="34" charset="0"/>
                  </a:rPr>
                  <a:t>Hodnota udržená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0" i="0" u="none" strike="noStrike" kern="1200" baseline="0">
                  <a:solidFill>
                    <a:sysClr val="windowText" lastClr="000000"/>
                  </a:solidFill>
                  <a:latin typeface="Arial" panose="020B0604020202020204" pitchFamily="34" charset="0"/>
                  <a:ea typeface="+mn-ea"/>
                  <a:cs typeface="Arial" panose="020B0604020202020204" pitchFamily="34" charset="0"/>
                </a:defRPr>
              </a:pPr>
              <a:endParaRPr lang="cs-CZ"/>
            </a:p>
          </c:txPr>
        </c:title>
        <c:numFmt formatCode="0.0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cs-CZ"/>
          </a:p>
        </c:txPr>
        <c:crossAx val="1496370208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cs-CZ"/>
    </a:p>
  </c:txPr>
  <c:externalData r:id="rId3">
    <c:autoUpdate val="0"/>
  </c:externalData>
  <c:userShapes r:id="rId4"/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050" b="1" i="0" u="none" strike="noStrike" kern="1200" spc="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r>
              <a:rPr lang="cs-CZ" sz="1050" b="1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Graf 27: Vztah mezi hodnotou vytvořenou</a:t>
            </a:r>
            <a:r>
              <a:rPr lang="cs-CZ" sz="1050" b="1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 a</a:t>
            </a:r>
            <a:r>
              <a:rPr lang="cs-CZ" sz="1050" b="1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 udrženou</a:t>
            </a:r>
          </a:p>
        </c:rich>
      </c:tx>
      <c:layout>
        <c:manualLayout>
          <c:xMode val="edge"/>
          <c:yMode val="edge"/>
          <c:x val="0.18362131816856223"/>
          <c:y val="6.7981540992095527E-3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50" b="1" i="0" u="none" strike="noStrike" kern="1200" spc="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cs-CZ"/>
        </a:p>
      </c:txPr>
    </c:title>
    <c:autoTitleDeleted val="0"/>
    <c:plotArea>
      <c:layout>
        <c:manualLayout>
          <c:layoutTarget val="inner"/>
          <c:xMode val="edge"/>
          <c:yMode val="edge"/>
          <c:x val="8.2721042848367357E-2"/>
          <c:y val="0.25704622922134734"/>
          <c:w val="0.85180671564990551"/>
          <c:h val="0.65447610829468239"/>
        </c:manualLayout>
      </c:layout>
      <c:scatterChart>
        <c:scatterStyle val="lineMarker"/>
        <c:varyColors val="0"/>
        <c:ser>
          <c:idx val="0"/>
          <c:order val="0"/>
          <c:tx>
            <c:v>Všechny ES</c:v>
          </c:tx>
          <c:spPr>
            <a:ln w="381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poly"/>
            <c:order val="3"/>
            <c:dispRSqr val="1"/>
            <c:dispEq val="1"/>
            <c:trendlineLbl>
              <c:layout>
                <c:manualLayout>
                  <c:x val="-6.805555555555555E-2"/>
                  <c:y val="3.5017294071117824E-2"/>
                </c:manualLayout>
              </c:layout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800" b="0" i="0" u="none" strike="noStrike" kern="1200" baseline="0">
                      <a:solidFill>
                        <a:sysClr val="windowText" lastClr="000000"/>
                      </a:solidFill>
                      <a:latin typeface="Arial" panose="020B0604020202020204" pitchFamily="34" charset="0"/>
                      <a:ea typeface="+mn-ea"/>
                      <a:cs typeface="Arial" panose="020B0604020202020204" pitchFamily="34" charset="0"/>
                    </a:defRPr>
                  </a:pPr>
                  <a:endParaRPr lang="cs-CZ"/>
                </a:p>
              </c:txPr>
            </c:trendlineLbl>
          </c:trendline>
          <c:xVal>
            <c:numRef>
              <c:f>'Grafy 4'!$F$3:$F$171</c:f>
              <c:numCache>
                <c:formatCode>0.00</c:formatCode>
                <c:ptCount val="169"/>
                <c:pt idx="0">
                  <c:v>206.78337047251318</c:v>
                </c:pt>
                <c:pt idx="1">
                  <c:v>3.5135110636000983</c:v>
                </c:pt>
                <c:pt idx="2">
                  <c:v>32.683805444478423</c:v>
                </c:pt>
                <c:pt idx="3">
                  <c:v>13.211506737883211</c:v>
                </c:pt>
                <c:pt idx="4">
                  <c:v>30.269127171044524</c:v>
                </c:pt>
                <c:pt idx="5">
                  <c:v>78.632214908384512</c:v>
                </c:pt>
                <c:pt idx="6">
                  <c:v>91.108797939609133</c:v>
                </c:pt>
                <c:pt idx="7">
                  <c:v>140.76252621755015</c:v>
                </c:pt>
                <c:pt idx="8">
                  <c:v>8.0948742380474155</c:v>
                </c:pt>
                <c:pt idx="9">
                  <c:v>100.20783401178049</c:v>
                </c:pt>
                <c:pt idx="10">
                  <c:v>57.271301366092096</c:v>
                </c:pt>
                <c:pt idx="11">
                  <c:v>36.093136243632856</c:v>
                </c:pt>
                <c:pt idx="12">
                  <c:v>52.535414935485662</c:v>
                </c:pt>
                <c:pt idx="13">
                  <c:v>48.529021873492418</c:v>
                </c:pt>
                <c:pt idx="14">
                  <c:v>56.167801245502574</c:v>
                </c:pt>
                <c:pt idx="15">
                  <c:v>66.646594386322647</c:v>
                </c:pt>
                <c:pt idx="16">
                  <c:v>42.34836882766897</c:v>
                </c:pt>
                <c:pt idx="17">
                  <c:v>46.1880187698914</c:v>
                </c:pt>
                <c:pt idx="18">
                  <c:v>38.259210303518515</c:v>
                </c:pt>
                <c:pt idx="19">
                  <c:v>53.165233049301861</c:v>
                </c:pt>
                <c:pt idx="20">
                  <c:v>61.367997268902059</c:v>
                </c:pt>
                <c:pt idx="21">
                  <c:v>74.374559220222892</c:v>
                </c:pt>
                <c:pt idx="22">
                  <c:v>32.290857429080319</c:v>
                </c:pt>
                <c:pt idx="23">
                  <c:v>-30.876489344334704</c:v>
                </c:pt>
                <c:pt idx="24">
                  <c:v>-20.519052233610175</c:v>
                </c:pt>
                <c:pt idx="25">
                  <c:v>43.370672818693542</c:v>
                </c:pt>
                <c:pt idx="26">
                  <c:v>10.048668204627043</c:v>
                </c:pt>
                <c:pt idx="27">
                  <c:v>12.630346249668772</c:v>
                </c:pt>
                <c:pt idx="28">
                  <c:v>41.226375638916281</c:v>
                </c:pt>
                <c:pt idx="29">
                  <c:v>50.307953144873785</c:v>
                </c:pt>
                <c:pt idx="30">
                  <c:v>118.47308871072363</c:v>
                </c:pt>
                <c:pt idx="31">
                  <c:v>50.356577121386145</c:v>
                </c:pt>
                <c:pt idx="32">
                  <c:v>67.024009939331819</c:v>
                </c:pt>
                <c:pt idx="33">
                  <c:v>31.11155835089043</c:v>
                </c:pt>
                <c:pt idx="34">
                  <c:v>23.979983427960676</c:v>
                </c:pt>
                <c:pt idx="35">
                  <c:v>-34.116812441303175</c:v>
                </c:pt>
                <c:pt idx="36" formatCode="General">
                  <c:v>-26.402550311232371</c:v>
                </c:pt>
                <c:pt idx="37" formatCode="General">
                  <c:v>-7.393649166843522</c:v>
                </c:pt>
                <c:pt idx="38" formatCode="General">
                  <c:v>-11.228572960769107</c:v>
                </c:pt>
                <c:pt idx="39" formatCode="General">
                  <c:v>28.116284469146251</c:v>
                </c:pt>
                <c:pt idx="40" formatCode="General">
                  <c:v>66.450538811840573</c:v>
                </c:pt>
                <c:pt idx="41" formatCode="General">
                  <c:v>19.68197338647839</c:v>
                </c:pt>
                <c:pt idx="42" formatCode="General">
                  <c:v>96.22740501401303</c:v>
                </c:pt>
                <c:pt idx="43" formatCode="General">
                  <c:v>15.891144118581455</c:v>
                </c:pt>
                <c:pt idx="44" formatCode="General">
                  <c:v>30.259868218027542</c:v>
                </c:pt>
                <c:pt idx="45" formatCode="General">
                  <c:v>128.20573397936994</c:v>
                </c:pt>
                <c:pt idx="46" formatCode="General">
                  <c:v>62.737091124757427</c:v>
                </c:pt>
                <c:pt idx="47" formatCode="General">
                  <c:v>78.277297549954369</c:v>
                </c:pt>
                <c:pt idx="48" formatCode="General">
                  <c:v>13.165199350614879</c:v>
                </c:pt>
                <c:pt idx="49" formatCode="General">
                  <c:v>99.048979629052184</c:v>
                </c:pt>
                <c:pt idx="50" formatCode="General">
                  <c:v>48.775119994151098</c:v>
                </c:pt>
                <c:pt idx="51" formatCode="General">
                  <c:v>109.66583319218788</c:v>
                </c:pt>
                <c:pt idx="52" formatCode="General">
                  <c:v>49.107402454585262</c:v>
                </c:pt>
                <c:pt idx="53" formatCode="General">
                  <c:v>106.61660365129799</c:v>
                </c:pt>
                <c:pt idx="54" formatCode="General">
                  <c:v>27.44369334058057</c:v>
                </c:pt>
                <c:pt idx="55" formatCode="General">
                  <c:v>5.2982946327931391</c:v>
                </c:pt>
                <c:pt idx="56" formatCode="General">
                  <c:v>11.306180290936345</c:v>
                </c:pt>
                <c:pt idx="57" formatCode="General">
                  <c:v>0.12086061908866297</c:v>
                </c:pt>
                <c:pt idx="58" formatCode="General">
                  <c:v>-5.6408997260199065</c:v>
                </c:pt>
                <c:pt idx="59" formatCode="General">
                  <c:v>67.693068565845593</c:v>
                </c:pt>
                <c:pt idx="60" formatCode="General">
                  <c:v>16.662248476944821</c:v>
                </c:pt>
                <c:pt idx="61" formatCode="General">
                  <c:v>134.68375638277826</c:v>
                </c:pt>
                <c:pt idx="62" formatCode="General">
                  <c:v>-30.654870548757803</c:v>
                </c:pt>
                <c:pt idx="63" formatCode="General">
                  <c:v>-29.144262188014601</c:v>
                </c:pt>
                <c:pt idx="64" formatCode="General">
                  <c:v>47.176033028859813</c:v>
                </c:pt>
                <c:pt idx="65" formatCode="General">
                  <c:v>37.448678029263846</c:v>
                </c:pt>
                <c:pt idx="66" formatCode="General">
                  <c:v>7.4904718491767674</c:v>
                </c:pt>
                <c:pt idx="67" formatCode="General">
                  <c:v>23.387650692377498</c:v>
                </c:pt>
                <c:pt idx="68" formatCode="General">
                  <c:v>22.877109197521207</c:v>
                </c:pt>
                <c:pt idx="69" formatCode="General">
                  <c:v>50.243922031368818</c:v>
                </c:pt>
                <c:pt idx="70" formatCode="General">
                  <c:v>89.630567313273531</c:v>
                </c:pt>
                <c:pt idx="71" formatCode="General">
                  <c:v>33.782427203223598</c:v>
                </c:pt>
                <c:pt idx="72" formatCode="General">
                  <c:v>104.1667271922104</c:v>
                </c:pt>
                <c:pt idx="73" formatCode="General">
                  <c:v>88.898884018048733</c:v>
                </c:pt>
                <c:pt idx="74" formatCode="General">
                  <c:v>18.162727962024512</c:v>
                </c:pt>
                <c:pt idx="75" formatCode="General">
                  <c:v>45.879836449794325</c:v>
                </c:pt>
                <c:pt idx="76" formatCode="General">
                  <c:v>136.2873828607249</c:v>
                </c:pt>
                <c:pt idx="77" formatCode="General">
                  <c:v>67.550482760180415</c:v>
                </c:pt>
                <c:pt idx="78" formatCode="General">
                  <c:v>79.968455139833409</c:v>
                </c:pt>
                <c:pt idx="79" formatCode="General">
                  <c:v>598.22495258571632</c:v>
                </c:pt>
                <c:pt idx="80" formatCode="General">
                  <c:v>20.336009451674499</c:v>
                </c:pt>
                <c:pt idx="81" formatCode="General">
                  <c:v>68.844395190954216</c:v>
                </c:pt>
                <c:pt idx="82" formatCode="General">
                  <c:v>-1.2142250665325562</c:v>
                </c:pt>
                <c:pt idx="83" formatCode="General">
                  <c:v>32.677836662324133</c:v>
                </c:pt>
                <c:pt idx="84" formatCode="General">
                  <c:v>29.192644410290157</c:v>
                </c:pt>
                <c:pt idx="85" formatCode="General">
                  <c:v>42.24090440409195</c:v>
                </c:pt>
                <c:pt idx="86" formatCode="General">
                  <c:v>-5.4898078920265956</c:v>
                </c:pt>
                <c:pt idx="87" formatCode="General">
                  <c:v>20.028700610439124</c:v>
                </c:pt>
                <c:pt idx="88" formatCode="General">
                  <c:v>25.585284732112402</c:v>
                </c:pt>
                <c:pt idx="89" formatCode="General">
                  <c:v>-29.207635910167603</c:v>
                </c:pt>
                <c:pt idx="90" formatCode="General">
                  <c:v>49.130174245244881</c:v>
                </c:pt>
                <c:pt idx="91" formatCode="General">
                  <c:v>101.1149028744718</c:v>
                </c:pt>
                <c:pt idx="92" formatCode="General">
                  <c:v>63.043213444770942</c:v>
                </c:pt>
                <c:pt idx="93" formatCode="General">
                  <c:v>20.981970002955087</c:v>
                </c:pt>
                <c:pt idx="94" formatCode="General">
                  <c:v>33.620624601399619</c:v>
                </c:pt>
                <c:pt idx="95" formatCode="General">
                  <c:v>41.077959017044286</c:v>
                </c:pt>
                <c:pt idx="96" formatCode="General">
                  <c:v>101.18195608892924</c:v>
                </c:pt>
                <c:pt idx="97" formatCode="General">
                  <c:v>0.46809909289314255</c:v>
                </c:pt>
                <c:pt idx="98" formatCode="General">
                  <c:v>82.644498414897569</c:v>
                </c:pt>
                <c:pt idx="99" formatCode="General">
                  <c:v>38.084145534494297</c:v>
                </c:pt>
                <c:pt idx="100" formatCode="General">
                  <c:v>21.56316831648099</c:v>
                </c:pt>
                <c:pt idx="101" formatCode="General">
                  <c:v>23.786528388754242</c:v>
                </c:pt>
                <c:pt idx="102" formatCode="General">
                  <c:v>70.477666189841912</c:v>
                </c:pt>
                <c:pt idx="103" formatCode="General">
                  <c:v>27.938481846797057</c:v>
                </c:pt>
                <c:pt idx="104" formatCode="General">
                  <c:v>51.024447398737969</c:v>
                </c:pt>
                <c:pt idx="105" formatCode="General">
                  <c:v>-0.78620565955267097</c:v>
                </c:pt>
                <c:pt idx="106" formatCode="General">
                  <c:v>41.122440116504215</c:v>
                </c:pt>
                <c:pt idx="107" formatCode="General">
                  <c:v>55.350709033618038</c:v>
                </c:pt>
                <c:pt idx="108" formatCode="General">
                  <c:v>62.282081381402897</c:v>
                </c:pt>
                <c:pt idx="109" formatCode="General">
                  <c:v>49.919183170295405</c:v>
                </c:pt>
                <c:pt idx="110" formatCode="General">
                  <c:v>68.854767565164948</c:v>
                </c:pt>
                <c:pt idx="111" formatCode="General">
                  <c:v>38.554999697536033</c:v>
                </c:pt>
                <c:pt idx="112" formatCode="General">
                  <c:v>149.37902226841447</c:v>
                </c:pt>
                <c:pt idx="113" formatCode="General">
                  <c:v>52.460588483467419</c:v>
                </c:pt>
                <c:pt idx="114" formatCode="General">
                  <c:v>109.26254838783071</c:v>
                </c:pt>
                <c:pt idx="115" formatCode="General">
                  <c:v>24.114518466330139</c:v>
                </c:pt>
                <c:pt idx="116" formatCode="General">
                  <c:v>72.136810371048696</c:v>
                </c:pt>
                <c:pt idx="117" formatCode="General">
                  <c:v>67.222157559385423</c:v>
                </c:pt>
                <c:pt idx="118" formatCode="General">
                  <c:v>56.219927311509068</c:v>
                </c:pt>
                <c:pt idx="119" formatCode="General">
                  <c:v>14.61759319789701</c:v>
                </c:pt>
                <c:pt idx="120" formatCode="General">
                  <c:v>110.95852779246218</c:v>
                </c:pt>
                <c:pt idx="121" formatCode="General">
                  <c:v>44.4818798292157</c:v>
                </c:pt>
                <c:pt idx="122" formatCode="General">
                  <c:v>36.395604812077401</c:v>
                </c:pt>
                <c:pt idx="123" formatCode="General">
                  <c:v>48.949681649174558</c:v>
                </c:pt>
                <c:pt idx="124" formatCode="General">
                  <c:v>40.730622286359704</c:v>
                </c:pt>
                <c:pt idx="125" formatCode="General">
                  <c:v>126.53684078753514</c:v>
                </c:pt>
                <c:pt idx="126" formatCode="General">
                  <c:v>78.301349367524551</c:v>
                </c:pt>
                <c:pt idx="127" formatCode="General">
                  <c:v>56.202406047638966</c:v>
                </c:pt>
                <c:pt idx="128" formatCode="General">
                  <c:v>9.4007780489669237</c:v>
                </c:pt>
                <c:pt idx="129" formatCode="General">
                  <c:v>43.524024198258125</c:v>
                </c:pt>
                <c:pt idx="130" formatCode="General">
                  <c:v>26.513886647537994</c:v>
                </c:pt>
                <c:pt idx="131" formatCode="General">
                  <c:v>30.995544472063333</c:v>
                </c:pt>
                <c:pt idx="132" formatCode="General">
                  <c:v>48.662287705037116</c:v>
                </c:pt>
                <c:pt idx="133" formatCode="General">
                  <c:v>50.852517449056336</c:v>
                </c:pt>
                <c:pt idx="134" formatCode="General">
                  <c:v>83.148020059243549</c:v>
                </c:pt>
                <c:pt idx="135" formatCode="General">
                  <c:v>59.720631686495501</c:v>
                </c:pt>
                <c:pt idx="136" formatCode="General">
                  <c:v>65.311779329388131</c:v>
                </c:pt>
                <c:pt idx="137" formatCode="General">
                  <c:v>122.638640591106</c:v>
                </c:pt>
                <c:pt idx="138" formatCode="General">
                  <c:v>77.895672075539991</c:v>
                </c:pt>
                <c:pt idx="139" formatCode="General">
                  <c:v>68.15411467275527</c:v>
                </c:pt>
                <c:pt idx="140" formatCode="General">
                  <c:v>77.897607274388974</c:v>
                </c:pt>
                <c:pt idx="141" formatCode="General">
                  <c:v>46.877678810163211</c:v>
                </c:pt>
                <c:pt idx="142" formatCode="General">
                  <c:v>27.541769455278036</c:v>
                </c:pt>
                <c:pt idx="143" formatCode="General">
                  <c:v>121.88405085751714</c:v>
                </c:pt>
                <c:pt idx="144" formatCode="General">
                  <c:v>37.57461024907041</c:v>
                </c:pt>
                <c:pt idx="145" formatCode="General">
                  <c:v>48.151127606475846</c:v>
                </c:pt>
                <c:pt idx="146" formatCode="General">
                  <c:v>78.877989136511047</c:v>
                </c:pt>
                <c:pt idx="147" formatCode="General">
                  <c:v>119.44348596164239</c:v>
                </c:pt>
                <c:pt idx="148" formatCode="General">
                  <c:v>67.807662279462804</c:v>
                </c:pt>
                <c:pt idx="149" formatCode="General">
                  <c:v>36.335125131360229</c:v>
                </c:pt>
                <c:pt idx="150" formatCode="General">
                  <c:v>96.344072016432591</c:v>
                </c:pt>
                <c:pt idx="151" formatCode="General">
                  <c:v>36.782862722569909</c:v>
                </c:pt>
                <c:pt idx="152" formatCode="General">
                  <c:v>58.618308694342318</c:v>
                </c:pt>
                <c:pt idx="153" formatCode="General">
                  <c:v>42.485769716677027</c:v>
                </c:pt>
                <c:pt idx="154" formatCode="General">
                  <c:v>87.086670274511249</c:v>
                </c:pt>
                <c:pt idx="155" formatCode="General">
                  <c:v>97.480909487462895</c:v>
                </c:pt>
                <c:pt idx="156" formatCode="General">
                  <c:v>62.106155122974855</c:v>
                </c:pt>
                <c:pt idx="157" formatCode="General">
                  <c:v>56.577428883965709</c:v>
                </c:pt>
                <c:pt idx="158" formatCode="General">
                  <c:v>54.556536950137613</c:v>
                </c:pt>
                <c:pt idx="159" formatCode="General">
                  <c:v>84.173264775959836</c:v>
                </c:pt>
                <c:pt idx="160" formatCode="General">
                  <c:v>50.531532648394375</c:v>
                </c:pt>
                <c:pt idx="161" formatCode="General">
                  <c:v>588.79460571257141</c:v>
                </c:pt>
                <c:pt idx="162" formatCode="General">
                  <c:v>35.422844957371552</c:v>
                </c:pt>
                <c:pt idx="163" formatCode="General">
                  <c:v>66.597683315531881</c:v>
                </c:pt>
                <c:pt idx="164" formatCode="General">
                  <c:v>76.308239050200484</c:v>
                </c:pt>
                <c:pt idx="165" formatCode="General">
                  <c:v>76.046101782347961</c:v>
                </c:pt>
                <c:pt idx="166" formatCode="General">
                  <c:v>-10.1792554357705</c:v>
                </c:pt>
                <c:pt idx="167" formatCode="General">
                  <c:v>111.89178715394685</c:v>
                </c:pt>
                <c:pt idx="168" formatCode="General">
                  <c:v>25.65639567087527</c:v>
                </c:pt>
              </c:numCache>
            </c:numRef>
          </c:xVal>
          <c:yVal>
            <c:numRef>
              <c:f>'Grafy 4'!$G$3:$G$171</c:f>
              <c:numCache>
                <c:formatCode>0.00</c:formatCode>
                <c:ptCount val="169"/>
                <c:pt idx="0">
                  <c:v>32.97655319206293</c:v>
                </c:pt>
                <c:pt idx="1">
                  <c:v>31.651651824906658</c:v>
                </c:pt>
                <c:pt idx="2">
                  <c:v>21.414589198439089</c:v>
                </c:pt>
                <c:pt idx="3">
                  <c:v>38.247811309295948</c:v>
                </c:pt>
                <c:pt idx="4">
                  <c:v>14.161176607970026</c:v>
                </c:pt>
                <c:pt idx="5">
                  <c:v>61.285760676375844</c:v>
                </c:pt>
                <c:pt idx="6">
                  <c:v>49.194433247627344</c:v>
                </c:pt>
                <c:pt idx="7">
                  <c:v>85.016873974011119</c:v>
                </c:pt>
                <c:pt idx="8">
                  <c:v>29.153549463150217</c:v>
                </c:pt>
                <c:pt idx="9">
                  <c:v>86.828277700215764</c:v>
                </c:pt>
                <c:pt idx="10">
                  <c:v>34.596472780827781</c:v>
                </c:pt>
                <c:pt idx="11">
                  <c:v>13.555992141453832</c:v>
                </c:pt>
                <c:pt idx="12">
                  <c:v>24.984185631927772</c:v>
                </c:pt>
                <c:pt idx="13">
                  <c:v>20.310861784817181</c:v>
                </c:pt>
                <c:pt idx="14">
                  <c:v>59.938068231224818</c:v>
                </c:pt>
                <c:pt idx="15">
                  <c:v>35.650101737972548</c:v>
                </c:pt>
                <c:pt idx="16">
                  <c:v>39.486978837013936</c:v>
                </c:pt>
                <c:pt idx="17">
                  <c:v>28.394420167185018</c:v>
                </c:pt>
                <c:pt idx="18">
                  <c:v>22.250778393297882</c:v>
                </c:pt>
                <c:pt idx="19">
                  <c:v>37.700072753728627</c:v>
                </c:pt>
                <c:pt idx="20">
                  <c:v>53.446892155950508</c:v>
                </c:pt>
                <c:pt idx="21">
                  <c:v>61.424238764308818</c:v>
                </c:pt>
                <c:pt idx="22">
                  <c:v>17.593656097362896</c:v>
                </c:pt>
                <c:pt idx="23">
                  <c:v>7.4696860616749667</c:v>
                </c:pt>
                <c:pt idx="24">
                  <c:v>28.720878805627606</c:v>
                </c:pt>
                <c:pt idx="25">
                  <c:v>32.584841810502247</c:v>
                </c:pt>
                <c:pt idx="26">
                  <c:v>41.74507786662663</c:v>
                </c:pt>
                <c:pt idx="27">
                  <c:v>26.405046182377397</c:v>
                </c:pt>
                <c:pt idx="28">
                  <c:v>21.639850179612282</c:v>
                </c:pt>
                <c:pt idx="29">
                  <c:v>33.46241405300642</c:v>
                </c:pt>
                <c:pt idx="30">
                  <c:v>73.573918848750097</c:v>
                </c:pt>
                <c:pt idx="31">
                  <c:v>24.702969512790791</c:v>
                </c:pt>
                <c:pt idx="32">
                  <c:v>56.082273228974486</c:v>
                </c:pt>
                <c:pt idx="33">
                  <c:v>27.898052814628628</c:v>
                </c:pt>
                <c:pt idx="34">
                  <c:v>17.155195597296451</c:v>
                </c:pt>
                <c:pt idx="35">
                  <c:v>6.8500666125888818</c:v>
                </c:pt>
                <c:pt idx="36" formatCode="General">
                  <c:v>8.904118989410625</c:v>
                </c:pt>
                <c:pt idx="37" formatCode="General">
                  <c:v>19.668027440488693</c:v>
                </c:pt>
                <c:pt idx="38" formatCode="General">
                  <c:v>12.671751976487787</c:v>
                </c:pt>
                <c:pt idx="39" formatCode="General">
                  <c:v>91.602288607060927</c:v>
                </c:pt>
                <c:pt idx="40" formatCode="General">
                  <c:v>79.011354374298932</c:v>
                </c:pt>
                <c:pt idx="41" formatCode="General">
                  <c:v>25.210626945163206</c:v>
                </c:pt>
                <c:pt idx="42" formatCode="General">
                  <c:v>10.250511606890921</c:v>
                </c:pt>
                <c:pt idx="43" formatCode="General">
                  <c:v>6.7165733094000375</c:v>
                </c:pt>
                <c:pt idx="44" formatCode="General">
                  <c:v>70.369869738124549</c:v>
                </c:pt>
                <c:pt idx="45" formatCode="General">
                  <c:v>83.744139057639529</c:v>
                </c:pt>
                <c:pt idx="46" formatCode="General">
                  <c:v>35.355239834539212</c:v>
                </c:pt>
                <c:pt idx="47" formatCode="General">
                  <c:v>80.897150641986613</c:v>
                </c:pt>
                <c:pt idx="48" formatCode="General">
                  <c:v>15.622458222419404</c:v>
                </c:pt>
                <c:pt idx="49" formatCode="General">
                  <c:v>67.247972386098283</c:v>
                </c:pt>
                <c:pt idx="50" formatCode="General">
                  <c:v>28.767697243459804</c:v>
                </c:pt>
                <c:pt idx="51" formatCode="General">
                  <c:v>85.141440918004221</c:v>
                </c:pt>
                <c:pt idx="52" formatCode="General">
                  <c:v>17.895440695757799</c:v>
                </c:pt>
                <c:pt idx="53" formatCode="General">
                  <c:v>59.739204457514319</c:v>
                </c:pt>
                <c:pt idx="54" formatCode="General">
                  <c:v>23.811113733572043</c:v>
                </c:pt>
                <c:pt idx="55" formatCode="General">
                  <c:v>33.276742999059451</c:v>
                </c:pt>
                <c:pt idx="56" formatCode="General">
                  <c:v>35.388136291551923</c:v>
                </c:pt>
                <c:pt idx="57" formatCode="General">
                  <c:v>25.86058184036553</c:v>
                </c:pt>
                <c:pt idx="58" formatCode="General">
                  <c:v>26.582584348377342</c:v>
                </c:pt>
                <c:pt idx="59" formatCode="General">
                  <c:v>34.319330483579009</c:v>
                </c:pt>
                <c:pt idx="60" formatCode="General">
                  <c:v>38.82307232726918</c:v>
                </c:pt>
                <c:pt idx="61" formatCode="General">
                  <c:v>23.985875986946848</c:v>
                </c:pt>
                <c:pt idx="62" formatCode="General">
                  <c:v>28.101561546833718</c:v>
                </c:pt>
                <c:pt idx="63" formatCode="General">
                  <c:v>26.863755763477212</c:v>
                </c:pt>
                <c:pt idx="64" formatCode="General">
                  <c:v>13.421006344680682</c:v>
                </c:pt>
                <c:pt idx="65" formatCode="General">
                  <c:v>29.25130764884014</c:v>
                </c:pt>
                <c:pt idx="66" formatCode="General">
                  <c:v>22.966603942809911</c:v>
                </c:pt>
                <c:pt idx="67" formatCode="General">
                  <c:v>28.633704213490443</c:v>
                </c:pt>
                <c:pt idx="68" formatCode="General">
                  <c:v>25.293456662090371</c:v>
                </c:pt>
                <c:pt idx="69" formatCode="General">
                  <c:v>23.792027181857687</c:v>
                </c:pt>
                <c:pt idx="70" formatCode="General">
                  <c:v>63.400800554447606</c:v>
                </c:pt>
                <c:pt idx="71" formatCode="General">
                  <c:v>59.921410424634971</c:v>
                </c:pt>
                <c:pt idx="72" formatCode="General">
                  <c:v>60.624402106373665</c:v>
                </c:pt>
                <c:pt idx="73" formatCode="General">
                  <c:v>37.619451738559079</c:v>
                </c:pt>
                <c:pt idx="74" formatCode="General">
                  <c:v>52.695432332855447</c:v>
                </c:pt>
                <c:pt idx="75" formatCode="General">
                  <c:v>26.037564019907613</c:v>
                </c:pt>
                <c:pt idx="76" formatCode="General">
                  <c:v>56.998367232348016</c:v>
                </c:pt>
                <c:pt idx="77" formatCode="General">
                  <c:v>44.706599737455825</c:v>
                </c:pt>
                <c:pt idx="78" formatCode="General">
                  <c:v>22.050668472442094</c:v>
                </c:pt>
                <c:pt idx="79" formatCode="General">
                  <c:v>16.605494189341169</c:v>
                </c:pt>
                <c:pt idx="80" formatCode="General">
                  <c:v>30.783823307720496</c:v>
                </c:pt>
                <c:pt idx="81" formatCode="General">
                  <c:v>37.419204176090958</c:v>
                </c:pt>
                <c:pt idx="82" formatCode="General">
                  <c:v>38.170200356799782</c:v>
                </c:pt>
                <c:pt idx="83" formatCode="General">
                  <c:v>32.787376640944444</c:v>
                </c:pt>
                <c:pt idx="84" formatCode="General">
                  <c:v>35.166888426539906</c:v>
                </c:pt>
                <c:pt idx="85" formatCode="General">
                  <c:v>25.943516241200914</c:v>
                </c:pt>
                <c:pt idx="86" formatCode="General">
                  <c:v>24.3422820223042</c:v>
                </c:pt>
                <c:pt idx="87" formatCode="General">
                  <c:v>62.527379435086878</c:v>
                </c:pt>
                <c:pt idx="88" formatCode="General">
                  <c:v>46.110921441437199</c:v>
                </c:pt>
                <c:pt idx="89" formatCode="General">
                  <c:v>33.350971606133612</c:v>
                </c:pt>
                <c:pt idx="90" formatCode="General">
                  <c:v>33.968979478196303</c:v>
                </c:pt>
                <c:pt idx="91" formatCode="General">
                  <c:v>58.531691924110795</c:v>
                </c:pt>
                <c:pt idx="92" formatCode="General">
                  <c:v>31.366076887801899</c:v>
                </c:pt>
                <c:pt idx="93" formatCode="General">
                  <c:v>24.194675424498637</c:v>
                </c:pt>
                <c:pt idx="94" formatCode="General">
                  <c:v>41.083089967463792</c:v>
                </c:pt>
                <c:pt idx="95" formatCode="General">
                  <c:v>22.899007994866171</c:v>
                </c:pt>
                <c:pt idx="96" formatCode="General">
                  <c:v>22.708355723227555</c:v>
                </c:pt>
                <c:pt idx="97" formatCode="General">
                  <c:v>40.409733153436775</c:v>
                </c:pt>
                <c:pt idx="98" formatCode="General">
                  <c:v>53.168946779170419</c:v>
                </c:pt>
                <c:pt idx="99" formatCode="General">
                  <c:v>47.791891774452864</c:v>
                </c:pt>
                <c:pt idx="100" formatCode="General">
                  <c:v>91.85227290922775</c:v>
                </c:pt>
                <c:pt idx="101" formatCode="General">
                  <c:v>56.706626219801905</c:v>
                </c:pt>
                <c:pt idx="102" formatCode="General">
                  <c:v>37.325593813409725</c:v>
                </c:pt>
                <c:pt idx="103" formatCode="General">
                  <c:v>43.919179078480148</c:v>
                </c:pt>
                <c:pt idx="104" formatCode="General">
                  <c:v>29.073508871760385</c:v>
                </c:pt>
                <c:pt idx="105" formatCode="General">
                  <c:v>19.31618481827654</c:v>
                </c:pt>
                <c:pt idx="106" formatCode="General">
                  <c:v>51.41441603810123</c:v>
                </c:pt>
                <c:pt idx="107" formatCode="General">
                  <c:v>31.998166692129278</c:v>
                </c:pt>
                <c:pt idx="108" formatCode="General">
                  <c:v>41.129287445144847</c:v>
                </c:pt>
                <c:pt idx="109" formatCode="General">
                  <c:v>37.821510297482838</c:v>
                </c:pt>
                <c:pt idx="110" formatCode="General">
                  <c:v>52.056400697492634</c:v>
                </c:pt>
                <c:pt idx="111" formatCode="General">
                  <c:v>42.786712055405566</c:v>
                </c:pt>
                <c:pt idx="112" formatCode="General">
                  <c:v>40.199475848020761</c:v>
                </c:pt>
                <c:pt idx="113" formatCode="General">
                  <c:v>57.151804439214651</c:v>
                </c:pt>
                <c:pt idx="114" formatCode="General">
                  <c:v>53.142874300040532</c:v>
                </c:pt>
                <c:pt idx="115" formatCode="General">
                  <c:v>30.230442534919863</c:v>
                </c:pt>
                <c:pt idx="116" formatCode="General">
                  <c:v>45.356903110315507</c:v>
                </c:pt>
                <c:pt idx="117" formatCode="General">
                  <c:v>48.117046529475807</c:v>
                </c:pt>
                <c:pt idx="118" formatCode="General">
                  <c:v>42.551811661048028</c:v>
                </c:pt>
                <c:pt idx="119" formatCode="General">
                  <c:v>10.680364612147189</c:v>
                </c:pt>
                <c:pt idx="120" formatCode="General">
                  <c:v>52.008621415934172</c:v>
                </c:pt>
                <c:pt idx="121" formatCode="General">
                  <c:v>23.039676153543489</c:v>
                </c:pt>
                <c:pt idx="122" formatCode="General">
                  <c:v>39.137870858112407</c:v>
                </c:pt>
                <c:pt idx="123" formatCode="General">
                  <c:v>34.994552254188875</c:v>
                </c:pt>
                <c:pt idx="124" formatCode="General">
                  <c:v>9.1724407516607052</c:v>
                </c:pt>
                <c:pt idx="125" formatCode="General">
                  <c:v>58.84488267552895</c:v>
                </c:pt>
                <c:pt idx="126" formatCode="General">
                  <c:v>30.682848841678069</c:v>
                </c:pt>
                <c:pt idx="127" formatCode="General">
                  <c:v>58.935433190103922</c:v>
                </c:pt>
                <c:pt idx="128" formatCode="General">
                  <c:v>39.081819064345034</c:v>
                </c:pt>
                <c:pt idx="129" formatCode="General">
                  <c:v>66.035979380932815</c:v>
                </c:pt>
                <c:pt idx="130" formatCode="General">
                  <c:v>25.239362972159878</c:v>
                </c:pt>
                <c:pt idx="131" formatCode="General">
                  <c:v>47.84702477010169</c:v>
                </c:pt>
                <c:pt idx="132" formatCode="General">
                  <c:v>11.951106205726827</c:v>
                </c:pt>
                <c:pt idx="133" formatCode="General">
                  <c:v>28.129037485875834</c:v>
                </c:pt>
                <c:pt idx="134" formatCode="General">
                  <c:v>48.704677000864883</c:v>
                </c:pt>
                <c:pt idx="135" formatCode="General">
                  <c:v>31.316412803895119</c:v>
                </c:pt>
                <c:pt idx="136" formatCode="General">
                  <c:v>36.836802095811734</c:v>
                </c:pt>
                <c:pt idx="137" formatCode="General">
                  <c:v>36.223405630560912</c:v>
                </c:pt>
                <c:pt idx="138" formatCode="General">
                  <c:v>34.209520068678515</c:v>
                </c:pt>
                <c:pt idx="139" formatCode="General">
                  <c:v>31.607493862503766</c:v>
                </c:pt>
                <c:pt idx="140" formatCode="General">
                  <c:v>41.414290860436388</c:v>
                </c:pt>
                <c:pt idx="141" formatCode="General">
                  <c:v>41.359126034906822</c:v>
                </c:pt>
                <c:pt idx="142" formatCode="General">
                  <c:v>32.127385493810273</c:v>
                </c:pt>
                <c:pt idx="143" formatCode="General">
                  <c:v>92.525037766463385</c:v>
                </c:pt>
                <c:pt idx="144" formatCode="General">
                  <c:v>46.088196324145223</c:v>
                </c:pt>
                <c:pt idx="145" formatCode="General">
                  <c:v>57.033942463273945</c:v>
                </c:pt>
                <c:pt idx="146" formatCode="General">
                  <c:v>53.418449777357445</c:v>
                </c:pt>
                <c:pt idx="147" formatCode="General">
                  <c:v>36.131490134098954</c:v>
                </c:pt>
                <c:pt idx="148" formatCode="General">
                  <c:v>32.829242504983938</c:v>
                </c:pt>
                <c:pt idx="149" formatCode="General">
                  <c:v>39.733913715027903</c:v>
                </c:pt>
                <c:pt idx="150" formatCode="General">
                  <c:v>41.077557061022446</c:v>
                </c:pt>
                <c:pt idx="151" formatCode="General">
                  <c:v>41.324311261478975</c:v>
                </c:pt>
                <c:pt idx="152" formatCode="General">
                  <c:v>27.632016086728449</c:v>
                </c:pt>
                <c:pt idx="153" formatCode="General">
                  <c:v>52.666484865012272</c:v>
                </c:pt>
                <c:pt idx="154" formatCode="General">
                  <c:v>30.35353068621713</c:v>
                </c:pt>
                <c:pt idx="155" formatCode="General">
                  <c:v>19.980074365315161</c:v>
                </c:pt>
                <c:pt idx="156" formatCode="General">
                  <c:v>59.718751531187223</c:v>
                </c:pt>
                <c:pt idx="157" formatCode="General">
                  <c:v>69.189917410234898</c:v>
                </c:pt>
                <c:pt idx="158" formatCode="General">
                  <c:v>6.8187427164964376</c:v>
                </c:pt>
                <c:pt idx="159" formatCode="General">
                  <c:v>30.325306885051244</c:v>
                </c:pt>
                <c:pt idx="160" formatCode="General">
                  <c:v>80.025608194622279</c:v>
                </c:pt>
                <c:pt idx="161" formatCode="General">
                  <c:v>8.6928712366530405</c:v>
                </c:pt>
                <c:pt idx="162" formatCode="General">
                  <c:v>49.43856756348773</c:v>
                </c:pt>
                <c:pt idx="163" formatCode="General">
                  <c:v>27.057199958251026</c:v>
                </c:pt>
                <c:pt idx="164" formatCode="General">
                  <c:v>61.92909264207254</c:v>
                </c:pt>
                <c:pt idx="165" formatCode="General">
                  <c:v>74.239306566526921</c:v>
                </c:pt>
                <c:pt idx="166" formatCode="General">
                  <c:v>51.970877388239664</c:v>
                </c:pt>
                <c:pt idx="167" formatCode="General">
                  <c:v>47.556582454853071</c:v>
                </c:pt>
                <c:pt idx="168" formatCode="General">
                  <c:v>17.447100228560529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CEBB-4D7F-A6D6-AE43D0A49C8C}"/>
            </c:ext>
          </c:extLst>
        </c:ser>
        <c:ser>
          <c:idx val="5"/>
          <c:order val="1"/>
          <c:tx>
            <c:strRef>
              <c:f>'Grafy 4'!$C$3</c:f>
              <c:strCache>
                <c:ptCount val="1"/>
                <c:pt idx="0">
                  <c:v>Vedoucí firma (integrátor)</c:v>
                </c:pt>
              </c:strCache>
            </c:strRef>
          </c:tx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rgbClr val="7030A0"/>
              </a:solidFill>
              <a:ln w="9525">
                <a:solidFill>
                  <a:srgbClr val="7030A0"/>
                </a:solidFill>
              </a:ln>
              <a:effectLst/>
            </c:spPr>
          </c:marker>
          <c:xVal>
            <c:numRef>
              <c:f>'Grafy 4'!$F$3:$F$5</c:f>
              <c:numCache>
                <c:formatCode>0.00</c:formatCode>
                <c:ptCount val="3"/>
                <c:pt idx="0">
                  <c:v>206.78337047251318</c:v>
                </c:pt>
                <c:pt idx="1">
                  <c:v>3.5135110636000983</c:v>
                </c:pt>
                <c:pt idx="2">
                  <c:v>32.683805444478423</c:v>
                </c:pt>
              </c:numCache>
            </c:numRef>
          </c:xVal>
          <c:yVal>
            <c:numRef>
              <c:f>'Grafy 4'!$G$3:$G$5</c:f>
              <c:numCache>
                <c:formatCode>0.00</c:formatCode>
                <c:ptCount val="3"/>
                <c:pt idx="0">
                  <c:v>32.97655319206293</c:v>
                </c:pt>
                <c:pt idx="1">
                  <c:v>31.651651824906658</c:v>
                </c:pt>
                <c:pt idx="2">
                  <c:v>21.414589198439089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CEBB-4D7F-A6D6-AE43D0A49C8C}"/>
            </c:ext>
          </c:extLst>
        </c:ser>
        <c:ser>
          <c:idx val="1"/>
          <c:order val="2"/>
          <c:tx>
            <c:strRef>
              <c:f>'Grafy 4'!$C$6</c:f>
              <c:strCache>
                <c:ptCount val="1"/>
                <c:pt idx="0">
                  <c:v>Pobočka zahraniční vedoucí firmy</c:v>
                </c:pt>
              </c:strCache>
            </c:strRef>
          </c:tx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rgbClr val="FF0000"/>
              </a:solidFill>
              <a:ln w="9525">
                <a:solidFill>
                  <a:srgbClr val="FF0000"/>
                </a:solidFill>
              </a:ln>
              <a:effectLst/>
            </c:spPr>
          </c:marker>
          <c:xVal>
            <c:numRef>
              <c:f>'Grafy 4'!$F$6:$F$28</c:f>
              <c:numCache>
                <c:formatCode>0.00</c:formatCode>
                <c:ptCount val="23"/>
                <c:pt idx="0">
                  <c:v>13.211506737883211</c:v>
                </c:pt>
                <c:pt idx="1">
                  <c:v>30.269127171044524</c:v>
                </c:pt>
                <c:pt idx="2">
                  <c:v>78.632214908384512</c:v>
                </c:pt>
                <c:pt idx="3">
                  <c:v>91.108797939609133</c:v>
                </c:pt>
                <c:pt idx="4">
                  <c:v>140.76252621755015</c:v>
                </c:pt>
                <c:pt idx="5">
                  <c:v>8.0948742380474155</c:v>
                </c:pt>
                <c:pt idx="6">
                  <c:v>100.20783401178049</c:v>
                </c:pt>
                <c:pt idx="7">
                  <c:v>57.271301366092096</c:v>
                </c:pt>
                <c:pt idx="8">
                  <c:v>36.093136243632856</c:v>
                </c:pt>
                <c:pt idx="9">
                  <c:v>52.535414935485662</c:v>
                </c:pt>
                <c:pt idx="10">
                  <c:v>48.529021873492418</c:v>
                </c:pt>
                <c:pt idx="11">
                  <c:v>56.167801245502574</c:v>
                </c:pt>
                <c:pt idx="12">
                  <c:v>66.646594386322647</c:v>
                </c:pt>
                <c:pt idx="13">
                  <c:v>42.34836882766897</c:v>
                </c:pt>
                <c:pt idx="14">
                  <c:v>46.1880187698914</c:v>
                </c:pt>
                <c:pt idx="15">
                  <c:v>38.259210303518515</c:v>
                </c:pt>
                <c:pt idx="16">
                  <c:v>53.165233049301861</c:v>
                </c:pt>
                <c:pt idx="17">
                  <c:v>61.367997268902059</c:v>
                </c:pt>
                <c:pt idx="18">
                  <c:v>74.374559220222892</c:v>
                </c:pt>
                <c:pt idx="19">
                  <c:v>32.290857429080319</c:v>
                </c:pt>
                <c:pt idx="20">
                  <c:v>-30.876489344334704</c:v>
                </c:pt>
                <c:pt idx="21">
                  <c:v>-20.519052233610175</c:v>
                </c:pt>
                <c:pt idx="22">
                  <c:v>43.370672818693542</c:v>
                </c:pt>
              </c:numCache>
            </c:numRef>
          </c:xVal>
          <c:yVal>
            <c:numRef>
              <c:f>'Grafy 4'!$G$6:$G$28</c:f>
              <c:numCache>
                <c:formatCode>0.00</c:formatCode>
                <c:ptCount val="23"/>
                <c:pt idx="0">
                  <c:v>38.247811309295948</c:v>
                </c:pt>
                <c:pt idx="1">
                  <c:v>14.161176607970026</c:v>
                </c:pt>
                <c:pt idx="2">
                  <c:v>61.285760676375844</c:v>
                </c:pt>
                <c:pt idx="3">
                  <c:v>49.194433247627344</c:v>
                </c:pt>
                <c:pt idx="4">
                  <c:v>85.016873974011119</c:v>
                </c:pt>
                <c:pt idx="5">
                  <c:v>29.153549463150217</c:v>
                </c:pt>
                <c:pt idx="6">
                  <c:v>86.828277700215764</c:v>
                </c:pt>
                <c:pt idx="7">
                  <c:v>34.596472780827781</c:v>
                </c:pt>
                <c:pt idx="8">
                  <c:v>13.555992141453832</c:v>
                </c:pt>
                <c:pt idx="9">
                  <c:v>24.984185631927772</c:v>
                </c:pt>
                <c:pt idx="10">
                  <c:v>20.310861784817181</c:v>
                </c:pt>
                <c:pt idx="11">
                  <c:v>59.938068231224818</c:v>
                </c:pt>
                <c:pt idx="12">
                  <c:v>35.650101737972548</c:v>
                </c:pt>
                <c:pt idx="13">
                  <c:v>39.486978837013936</c:v>
                </c:pt>
                <c:pt idx="14">
                  <c:v>28.394420167185018</c:v>
                </c:pt>
                <c:pt idx="15">
                  <c:v>22.250778393297882</c:v>
                </c:pt>
                <c:pt idx="16">
                  <c:v>37.700072753728627</c:v>
                </c:pt>
                <c:pt idx="17">
                  <c:v>53.446892155950508</c:v>
                </c:pt>
                <c:pt idx="18">
                  <c:v>61.424238764308818</c:v>
                </c:pt>
                <c:pt idx="19">
                  <c:v>17.593656097362896</c:v>
                </c:pt>
                <c:pt idx="20">
                  <c:v>7.4696860616749667</c:v>
                </c:pt>
                <c:pt idx="21">
                  <c:v>28.720878805627606</c:v>
                </c:pt>
                <c:pt idx="22">
                  <c:v>32.584841810502247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3-CEBB-4D7F-A6D6-AE43D0A49C8C}"/>
            </c:ext>
          </c:extLst>
        </c:ser>
        <c:ser>
          <c:idx val="6"/>
          <c:order val="3"/>
          <c:tx>
            <c:strRef>
              <c:f>'Grafy 4'!$C$29</c:f>
              <c:strCache>
                <c:ptCount val="1"/>
                <c:pt idx="0">
                  <c:v>Dodavatel 1. řádu</c:v>
                </c:pt>
              </c:strCache>
            </c:strRef>
          </c:tx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xVal>
            <c:numRef>
              <c:f>'Grafy 4'!$F$29:$F$40</c:f>
              <c:numCache>
                <c:formatCode>0.00</c:formatCode>
                <c:ptCount val="12"/>
                <c:pt idx="0">
                  <c:v>10.048668204627043</c:v>
                </c:pt>
                <c:pt idx="1">
                  <c:v>12.630346249668772</c:v>
                </c:pt>
                <c:pt idx="2">
                  <c:v>41.226375638916281</c:v>
                </c:pt>
                <c:pt idx="3">
                  <c:v>50.307953144873785</c:v>
                </c:pt>
                <c:pt idx="4">
                  <c:v>118.47308871072363</c:v>
                </c:pt>
                <c:pt idx="5">
                  <c:v>50.356577121386145</c:v>
                </c:pt>
                <c:pt idx="6">
                  <c:v>67.024009939331819</c:v>
                </c:pt>
                <c:pt idx="7">
                  <c:v>31.11155835089043</c:v>
                </c:pt>
                <c:pt idx="8">
                  <c:v>23.979983427960676</c:v>
                </c:pt>
                <c:pt idx="9">
                  <c:v>-34.116812441303175</c:v>
                </c:pt>
                <c:pt idx="10" formatCode="General">
                  <c:v>-26.402550311232371</c:v>
                </c:pt>
                <c:pt idx="11" formatCode="General">
                  <c:v>-7.393649166843522</c:v>
                </c:pt>
              </c:numCache>
            </c:numRef>
          </c:xVal>
          <c:yVal>
            <c:numRef>
              <c:f>'Grafy 4'!$G$29:$G$40</c:f>
              <c:numCache>
                <c:formatCode>0.00</c:formatCode>
                <c:ptCount val="12"/>
                <c:pt idx="0">
                  <c:v>41.74507786662663</c:v>
                </c:pt>
                <c:pt idx="1">
                  <c:v>26.405046182377397</c:v>
                </c:pt>
                <c:pt idx="2">
                  <c:v>21.639850179612282</c:v>
                </c:pt>
                <c:pt idx="3">
                  <c:v>33.46241405300642</c:v>
                </c:pt>
                <c:pt idx="4">
                  <c:v>73.573918848750097</c:v>
                </c:pt>
                <c:pt idx="5">
                  <c:v>24.702969512790791</c:v>
                </c:pt>
                <c:pt idx="6">
                  <c:v>56.082273228974486</c:v>
                </c:pt>
                <c:pt idx="7">
                  <c:v>27.898052814628628</c:v>
                </c:pt>
                <c:pt idx="8">
                  <c:v>17.155195597296451</c:v>
                </c:pt>
                <c:pt idx="9">
                  <c:v>6.8500666125888818</c:v>
                </c:pt>
                <c:pt idx="10" formatCode="General">
                  <c:v>8.904118989410625</c:v>
                </c:pt>
                <c:pt idx="11" formatCode="General">
                  <c:v>19.668027440488693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4-CEBB-4D7F-A6D6-AE43D0A49C8C}"/>
            </c:ext>
          </c:extLst>
        </c:ser>
        <c:ser>
          <c:idx val="2"/>
          <c:order val="4"/>
          <c:tx>
            <c:strRef>
              <c:f>'Grafy 4'!$C$41</c:f>
              <c:strCache>
                <c:ptCount val="1"/>
                <c:pt idx="0">
                  <c:v>Dodavatel 2. řádu</c:v>
                </c:pt>
              </c:strCache>
            </c:strRef>
          </c:tx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rgbClr val="FFC000"/>
              </a:solidFill>
              <a:ln w="9525">
                <a:solidFill>
                  <a:srgbClr val="FFC000"/>
                </a:solidFill>
              </a:ln>
              <a:effectLst/>
            </c:spPr>
          </c:marker>
          <c:xVal>
            <c:numRef>
              <c:f>'Grafy 4'!$F$41:$F$71</c:f>
              <c:numCache>
                <c:formatCode>General</c:formatCode>
                <c:ptCount val="31"/>
                <c:pt idx="0">
                  <c:v>-11.228572960769107</c:v>
                </c:pt>
                <c:pt idx="1">
                  <c:v>28.116284469146251</c:v>
                </c:pt>
                <c:pt idx="2">
                  <c:v>66.450538811840573</c:v>
                </c:pt>
                <c:pt idx="3">
                  <c:v>19.68197338647839</c:v>
                </c:pt>
                <c:pt idx="4">
                  <c:v>96.22740501401303</c:v>
                </c:pt>
                <c:pt idx="5">
                  <c:v>15.891144118581455</c:v>
                </c:pt>
                <c:pt idx="6">
                  <c:v>30.259868218027542</c:v>
                </c:pt>
                <c:pt idx="7">
                  <c:v>128.20573397936994</c:v>
                </c:pt>
                <c:pt idx="8">
                  <c:v>62.737091124757427</c:v>
                </c:pt>
                <c:pt idx="9">
                  <c:v>78.277297549954369</c:v>
                </c:pt>
                <c:pt idx="10">
                  <c:v>13.165199350614879</c:v>
                </c:pt>
                <c:pt idx="11">
                  <c:v>99.048979629052184</c:v>
                </c:pt>
                <c:pt idx="12">
                  <c:v>48.775119994151098</c:v>
                </c:pt>
                <c:pt idx="13">
                  <c:v>109.66583319218788</c:v>
                </c:pt>
                <c:pt idx="14">
                  <c:v>49.107402454585262</c:v>
                </c:pt>
                <c:pt idx="15">
                  <c:v>106.61660365129799</c:v>
                </c:pt>
                <c:pt idx="16">
                  <c:v>27.44369334058057</c:v>
                </c:pt>
                <c:pt idx="17">
                  <c:v>5.2982946327931391</c:v>
                </c:pt>
                <c:pt idx="18">
                  <c:v>11.306180290936345</c:v>
                </c:pt>
                <c:pt idx="19">
                  <c:v>0.12086061908866297</c:v>
                </c:pt>
                <c:pt idx="20">
                  <c:v>-5.6408997260199065</c:v>
                </c:pt>
                <c:pt idx="21">
                  <c:v>67.693068565845593</c:v>
                </c:pt>
                <c:pt idx="22">
                  <c:v>16.662248476944821</c:v>
                </c:pt>
                <c:pt idx="23">
                  <c:v>134.68375638277826</c:v>
                </c:pt>
                <c:pt idx="24">
                  <c:v>-30.654870548757803</c:v>
                </c:pt>
                <c:pt idx="25">
                  <c:v>-29.144262188014601</c:v>
                </c:pt>
                <c:pt idx="26">
                  <c:v>47.176033028859813</c:v>
                </c:pt>
                <c:pt idx="27">
                  <c:v>37.448678029263846</c:v>
                </c:pt>
                <c:pt idx="28">
                  <c:v>7.4904718491767674</c:v>
                </c:pt>
                <c:pt idx="29">
                  <c:v>23.387650692377498</c:v>
                </c:pt>
                <c:pt idx="30">
                  <c:v>22.877109197521207</c:v>
                </c:pt>
              </c:numCache>
            </c:numRef>
          </c:xVal>
          <c:yVal>
            <c:numRef>
              <c:f>'Grafy 4'!$G$41:$G$71</c:f>
              <c:numCache>
                <c:formatCode>General</c:formatCode>
                <c:ptCount val="31"/>
                <c:pt idx="0">
                  <c:v>12.671751976487787</c:v>
                </c:pt>
                <c:pt idx="1">
                  <c:v>91.602288607060927</c:v>
                </c:pt>
                <c:pt idx="2">
                  <c:v>79.011354374298932</c:v>
                </c:pt>
                <c:pt idx="3">
                  <c:v>25.210626945163206</c:v>
                </c:pt>
                <c:pt idx="4">
                  <c:v>10.250511606890921</c:v>
                </c:pt>
                <c:pt idx="5">
                  <c:v>6.7165733094000375</c:v>
                </c:pt>
                <c:pt idx="6">
                  <c:v>70.369869738124549</c:v>
                </c:pt>
                <c:pt idx="7">
                  <c:v>83.744139057639529</c:v>
                </c:pt>
                <c:pt idx="8">
                  <c:v>35.355239834539212</c:v>
                </c:pt>
                <c:pt idx="9">
                  <c:v>80.897150641986613</c:v>
                </c:pt>
                <c:pt idx="10">
                  <c:v>15.622458222419404</c:v>
                </c:pt>
                <c:pt idx="11">
                  <c:v>67.247972386098283</c:v>
                </c:pt>
                <c:pt idx="12">
                  <c:v>28.767697243459804</c:v>
                </c:pt>
                <c:pt idx="13">
                  <c:v>85.141440918004221</c:v>
                </c:pt>
                <c:pt idx="14">
                  <c:v>17.895440695757799</c:v>
                </c:pt>
                <c:pt idx="15">
                  <c:v>59.739204457514319</c:v>
                </c:pt>
                <c:pt idx="16">
                  <c:v>23.811113733572043</c:v>
                </c:pt>
                <c:pt idx="17">
                  <c:v>33.276742999059451</c:v>
                </c:pt>
                <c:pt idx="18">
                  <c:v>35.388136291551923</c:v>
                </c:pt>
                <c:pt idx="19">
                  <c:v>25.86058184036553</c:v>
                </c:pt>
                <c:pt idx="20">
                  <c:v>26.582584348377342</c:v>
                </c:pt>
                <c:pt idx="21">
                  <c:v>34.319330483579009</c:v>
                </c:pt>
                <c:pt idx="22">
                  <c:v>38.82307232726918</c:v>
                </c:pt>
                <c:pt idx="23">
                  <c:v>23.985875986946848</c:v>
                </c:pt>
                <c:pt idx="24">
                  <c:v>28.101561546833718</c:v>
                </c:pt>
                <c:pt idx="25">
                  <c:v>26.863755763477212</c:v>
                </c:pt>
                <c:pt idx="26">
                  <c:v>13.421006344680682</c:v>
                </c:pt>
                <c:pt idx="27">
                  <c:v>29.25130764884014</c:v>
                </c:pt>
                <c:pt idx="28">
                  <c:v>22.966603942809911</c:v>
                </c:pt>
                <c:pt idx="29">
                  <c:v>28.633704213490443</c:v>
                </c:pt>
                <c:pt idx="30">
                  <c:v>25.293456662090371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5-CEBB-4D7F-A6D6-AE43D0A49C8C}"/>
            </c:ext>
          </c:extLst>
        </c:ser>
        <c:ser>
          <c:idx val="7"/>
          <c:order val="5"/>
          <c:tx>
            <c:strRef>
              <c:f>'Grafy 4'!$C$72</c:f>
              <c:strCache>
                <c:ptCount val="1"/>
                <c:pt idx="0">
                  <c:v>Dodavatel 3. řádu</c:v>
                </c:pt>
              </c:strCache>
            </c:strRef>
          </c:tx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rgbClr val="FFFF00"/>
              </a:solidFill>
              <a:ln w="9525">
                <a:solidFill>
                  <a:srgbClr val="FFFF00"/>
                </a:solidFill>
              </a:ln>
              <a:effectLst/>
            </c:spPr>
          </c:marker>
          <c:xVal>
            <c:numRef>
              <c:f>'Grafy 4'!$F$72:$F$94</c:f>
              <c:numCache>
                <c:formatCode>General</c:formatCode>
                <c:ptCount val="23"/>
                <c:pt idx="0">
                  <c:v>50.243922031368818</c:v>
                </c:pt>
                <c:pt idx="1">
                  <c:v>89.630567313273531</c:v>
                </c:pt>
                <c:pt idx="2">
                  <c:v>33.782427203223598</c:v>
                </c:pt>
                <c:pt idx="3">
                  <c:v>104.1667271922104</c:v>
                </c:pt>
                <c:pt idx="4">
                  <c:v>88.898884018048733</c:v>
                </c:pt>
                <c:pt idx="5">
                  <c:v>18.162727962024512</c:v>
                </c:pt>
                <c:pt idx="6">
                  <c:v>45.879836449794325</c:v>
                </c:pt>
                <c:pt idx="7">
                  <c:v>136.2873828607249</c:v>
                </c:pt>
                <c:pt idx="8">
                  <c:v>67.550482760180415</c:v>
                </c:pt>
                <c:pt idx="9">
                  <c:v>79.968455139833409</c:v>
                </c:pt>
                <c:pt idx="10">
                  <c:v>598.22495258571632</c:v>
                </c:pt>
                <c:pt idx="11">
                  <c:v>20.336009451674499</c:v>
                </c:pt>
                <c:pt idx="12">
                  <c:v>68.844395190954216</c:v>
                </c:pt>
                <c:pt idx="13">
                  <c:v>-1.2142250665325562</c:v>
                </c:pt>
                <c:pt idx="14">
                  <c:v>32.677836662324133</c:v>
                </c:pt>
                <c:pt idx="15">
                  <c:v>29.192644410290157</c:v>
                </c:pt>
                <c:pt idx="16">
                  <c:v>42.24090440409195</c:v>
                </c:pt>
                <c:pt idx="17">
                  <c:v>-5.4898078920265956</c:v>
                </c:pt>
                <c:pt idx="18">
                  <c:v>20.028700610439124</c:v>
                </c:pt>
                <c:pt idx="19">
                  <c:v>25.585284732112402</c:v>
                </c:pt>
                <c:pt idx="20">
                  <c:v>-29.207635910167603</c:v>
                </c:pt>
                <c:pt idx="21">
                  <c:v>49.130174245244881</c:v>
                </c:pt>
                <c:pt idx="22">
                  <c:v>101.1149028744718</c:v>
                </c:pt>
              </c:numCache>
            </c:numRef>
          </c:xVal>
          <c:yVal>
            <c:numRef>
              <c:f>'Grafy 4'!$G$72:$G$94</c:f>
              <c:numCache>
                <c:formatCode>General</c:formatCode>
                <c:ptCount val="23"/>
                <c:pt idx="0">
                  <c:v>23.792027181857687</c:v>
                </c:pt>
                <c:pt idx="1">
                  <c:v>63.400800554447606</c:v>
                </c:pt>
                <c:pt idx="2">
                  <c:v>59.921410424634971</c:v>
                </c:pt>
                <c:pt idx="3">
                  <c:v>60.624402106373665</c:v>
                </c:pt>
                <c:pt idx="4">
                  <c:v>37.619451738559079</c:v>
                </c:pt>
                <c:pt idx="5">
                  <c:v>52.695432332855447</c:v>
                </c:pt>
                <c:pt idx="6">
                  <c:v>26.037564019907613</c:v>
                </c:pt>
                <c:pt idx="7">
                  <c:v>56.998367232348016</c:v>
                </c:pt>
                <c:pt idx="8">
                  <c:v>44.706599737455825</c:v>
                </c:pt>
                <c:pt idx="9">
                  <c:v>22.050668472442094</c:v>
                </c:pt>
                <c:pt idx="10">
                  <c:v>16.605494189341169</c:v>
                </c:pt>
                <c:pt idx="11">
                  <c:v>30.783823307720496</c:v>
                </c:pt>
                <c:pt idx="12">
                  <c:v>37.419204176090958</c:v>
                </c:pt>
                <c:pt idx="13">
                  <c:v>38.170200356799782</c:v>
                </c:pt>
                <c:pt idx="14">
                  <c:v>32.787376640944444</c:v>
                </c:pt>
                <c:pt idx="15">
                  <c:v>35.166888426539906</c:v>
                </c:pt>
                <c:pt idx="16">
                  <c:v>25.943516241200914</c:v>
                </c:pt>
                <c:pt idx="17">
                  <c:v>24.3422820223042</c:v>
                </c:pt>
                <c:pt idx="18">
                  <c:v>62.527379435086878</c:v>
                </c:pt>
                <c:pt idx="19">
                  <c:v>46.110921441437199</c:v>
                </c:pt>
                <c:pt idx="20">
                  <c:v>33.350971606133612</c:v>
                </c:pt>
                <c:pt idx="21">
                  <c:v>33.968979478196303</c:v>
                </c:pt>
                <c:pt idx="22">
                  <c:v>58.531691924110795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6-CEBB-4D7F-A6D6-AE43D0A49C8C}"/>
            </c:ext>
          </c:extLst>
        </c:ser>
        <c:ser>
          <c:idx val="3"/>
          <c:order val="6"/>
          <c:tx>
            <c:strRef>
              <c:f>'Grafy 4'!$C$95</c:f>
              <c:strCache>
                <c:ptCount val="1"/>
                <c:pt idx="0">
                  <c:v>Mimo GPN s přístupem na koncový trh</c:v>
                </c:pt>
              </c:strCache>
            </c:strRef>
          </c:tx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tx2">
                  <a:lumMod val="75000"/>
                  <a:lumOff val="25000"/>
                </a:schemeClr>
              </a:solidFill>
              <a:ln w="9525">
                <a:solidFill>
                  <a:schemeClr val="tx2">
                    <a:lumMod val="75000"/>
                    <a:lumOff val="25000"/>
                  </a:schemeClr>
                </a:solidFill>
              </a:ln>
              <a:effectLst/>
            </c:spPr>
          </c:marker>
          <c:xVal>
            <c:numRef>
              <c:f>'Grafy 4'!$F$95:$F$149</c:f>
              <c:numCache>
                <c:formatCode>General</c:formatCode>
                <c:ptCount val="55"/>
                <c:pt idx="0">
                  <c:v>63.043213444770942</c:v>
                </c:pt>
                <c:pt idx="1">
                  <c:v>20.981970002955087</c:v>
                </c:pt>
                <c:pt idx="2">
                  <c:v>33.620624601399619</c:v>
                </c:pt>
                <c:pt idx="3">
                  <c:v>41.077959017044286</c:v>
                </c:pt>
                <c:pt idx="4">
                  <c:v>101.18195608892924</c:v>
                </c:pt>
                <c:pt idx="5">
                  <c:v>0.46809909289314255</c:v>
                </c:pt>
                <c:pt idx="6">
                  <c:v>82.644498414897569</c:v>
                </c:pt>
                <c:pt idx="7">
                  <c:v>38.084145534494297</c:v>
                </c:pt>
                <c:pt idx="8">
                  <c:v>21.56316831648099</c:v>
                </c:pt>
                <c:pt idx="9">
                  <c:v>23.786528388754242</c:v>
                </c:pt>
                <c:pt idx="10">
                  <c:v>70.477666189841912</c:v>
                </c:pt>
                <c:pt idx="11">
                  <c:v>27.938481846797057</c:v>
                </c:pt>
                <c:pt idx="12">
                  <c:v>51.024447398737969</c:v>
                </c:pt>
                <c:pt idx="13">
                  <c:v>-0.78620565955267097</c:v>
                </c:pt>
                <c:pt idx="14">
                  <c:v>41.122440116504215</c:v>
                </c:pt>
                <c:pt idx="15">
                  <c:v>55.350709033618038</c:v>
                </c:pt>
                <c:pt idx="16">
                  <c:v>62.282081381402897</c:v>
                </c:pt>
                <c:pt idx="17">
                  <c:v>49.919183170295405</c:v>
                </c:pt>
                <c:pt idx="18">
                  <c:v>68.854767565164948</c:v>
                </c:pt>
                <c:pt idx="19">
                  <c:v>38.554999697536033</c:v>
                </c:pt>
                <c:pt idx="20">
                  <c:v>149.37902226841447</c:v>
                </c:pt>
                <c:pt idx="21">
                  <c:v>52.460588483467419</c:v>
                </c:pt>
                <c:pt idx="22">
                  <c:v>109.26254838783071</c:v>
                </c:pt>
                <c:pt idx="23">
                  <c:v>24.114518466330139</c:v>
                </c:pt>
                <c:pt idx="24">
                  <c:v>72.136810371048696</c:v>
                </c:pt>
                <c:pt idx="25">
                  <c:v>67.222157559385423</c:v>
                </c:pt>
                <c:pt idx="26">
                  <c:v>56.219927311509068</c:v>
                </c:pt>
                <c:pt idx="27">
                  <c:v>14.61759319789701</c:v>
                </c:pt>
                <c:pt idx="28">
                  <c:v>110.95852779246218</c:v>
                </c:pt>
                <c:pt idx="29">
                  <c:v>44.4818798292157</c:v>
                </c:pt>
                <c:pt idx="30">
                  <c:v>36.395604812077401</c:v>
                </c:pt>
                <c:pt idx="31">
                  <c:v>48.949681649174558</c:v>
                </c:pt>
                <c:pt idx="32">
                  <c:v>40.730622286359704</c:v>
                </c:pt>
                <c:pt idx="33">
                  <c:v>126.53684078753514</c:v>
                </c:pt>
                <c:pt idx="34">
                  <c:v>78.301349367524551</c:v>
                </c:pt>
                <c:pt idx="35">
                  <c:v>56.202406047638966</c:v>
                </c:pt>
                <c:pt idx="36">
                  <c:v>9.4007780489669237</c:v>
                </c:pt>
                <c:pt idx="37">
                  <c:v>43.524024198258125</c:v>
                </c:pt>
                <c:pt idx="38">
                  <c:v>26.513886647537994</c:v>
                </c:pt>
                <c:pt idx="39">
                  <c:v>30.995544472063333</c:v>
                </c:pt>
                <c:pt idx="40">
                  <c:v>48.662287705037116</c:v>
                </c:pt>
                <c:pt idx="41">
                  <c:v>50.852517449056336</c:v>
                </c:pt>
                <c:pt idx="42">
                  <c:v>83.148020059243549</c:v>
                </c:pt>
                <c:pt idx="43">
                  <c:v>59.720631686495501</c:v>
                </c:pt>
                <c:pt idx="44">
                  <c:v>65.311779329388131</c:v>
                </c:pt>
                <c:pt idx="45">
                  <c:v>122.638640591106</c:v>
                </c:pt>
                <c:pt idx="46">
                  <c:v>77.895672075539991</c:v>
                </c:pt>
                <c:pt idx="47">
                  <c:v>68.15411467275527</c:v>
                </c:pt>
                <c:pt idx="48">
                  <c:v>77.897607274388974</c:v>
                </c:pt>
                <c:pt idx="49">
                  <c:v>46.877678810163211</c:v>
                </c:pt>
                <c:pt idx="50">
                  <c:v>27.541769455278036</c:v>
                </c:pt>
                <c:pt idx="51">
                  <c:v>121.88405085751714</c:v>
                </c:pt>
                <c:pt idx="52">
                  <c:v>37.57461024907041</c:v>
                </c:pt>
                <c:pt idx="53">
                  <c:v>48.151127606475846</c:v>
                </c:pt>
                <c:pt idx="54">
                  <c:v>78.877989136511047</c:v>
                </c:pt>
              </c:numCache>
            </c:numRef>
          </c:xVal>
          <c:yVal>
            <c:numRef>
              <c:f>'Grafy 4'!$G$95:$G$149</c:f>
              <c:numCache>
                <c:formatCode>General</c:formatCode>
                <c:ptCount val="55"/>
                <c:pt idx="0">
                  <c:v>31.366076887801899</c:v>
                </c:pt>
                <c:pt idx="1">
                  <c:v>24.194675424498637</c:v>
                </c:pt>
                <c:pt idx="2">
                  <c:v>41.083089967463792</c:v>
                </c:pt>
                <c:pt idx="3">
                  <c:v>22.899007994866171</c:v>
                </c:pt>
                <c:pt idx="4">
                  <c:v>22.708355723227555</c:v>
                </c:pt>
                <c:pt idx="5">
                  <c:v>40.409733153436775</c:v>
                </c:pt>
                <c:pt idx="6">
                  <c:v>53.168946779170419</c:v>
                </c:pt>
                <c:pt idx="7">
                  <c:v>47.791891774452864</c:v>
                </c:pt>
                <c:pt idx="8">
                  <c:v>91.85227290922775</c:v>
                </c:pt>
                <c:pt idx="9">
                  <c:v>56.706626219801905</c:v>
                </c:pt>
                <c:pt idx="10">
                  <c:v>37.325593813409725</c:v>
                </c:pt>
                <c:pt idx="11">
                  <c:v>43.919179078480148</c:v>
                </c:pt>
                <c:pt idx="12">
                  <c:v>29.073508871760385</c:v>
                </c:pt>
                <c:pt idx="13">
                  <c:v>19.31618481827654</c:v>
                </c:pt>
                <c:pt idx="14">
                  <c:v>51.41441603810123</c:v>
                </c:pt>
                <c:pt idx="15">
                  <c:v>31.998166692129278</c:v>
                </c:pt>
                <c:pt idx="16">
                  <c:v>41.129287445144847</c:v>
                </c:pt>
                <c:pt idx="17">
                  <c:v>37.821510297482838</c:v>
                </c:pt>
                <c:pt idx="18">
                  <c:v>52.056400697492634</c:v>
                </c:pt>
                <c:pt idx="19">
                  <c:v>42.786712055405566</c:v>
                </c:pt>
                <c:pt idx="20">
                  <c:v>40.199475848020761</c:v>
                </c:pt>
                <c:pt idx="21">
                  <c:v>57.151804439214651</c:v>
                </c:pt>
                <c:pt idx="22">
                  <c:v>53.142874300040532</c:v>
                </c:pt>
                <c:pt idx="23">
                  <c:v>30.230442534919863</c:v>
                </c:pt>
                <c:pt idx="24">
                  <c:v>45.356903110315507</c:v>
                </c:pt>
                <c:pt idx="25">
                  <c:v>48.117046529475807</c:v>
                </c:pt>
                <c:pt idx="26">
                  <c:v>42.551811661048028</c:v>
                </c:pt>
                <c:pt idx="27">
                  <c:v>10.680364612147189</c:v>
                </c:pt>
                <c:pt idx="28">
                  <c:v>52.008621415934172</c:v>
                </c:pt>
                <c:pt idx="29">
                  <c:v>23.039676153543489</c:v>
                </c:pt>
                <c:pt idx="30">
                  <c:v>39.137870858112407</c:v>
                </c:pt>
                <c:pt idx="31">
                  <c:v>34.994552254188875</c:v>
                </c:pt>
                <c:pt idx="32">
                  <c:v>9.1724407516607052</c:v>
                </c:pt>
                <c:pt idx="33">
                  <c:v>58.84488267552895</c:v>
                </c:pt>
                <c:pt idx="34">
                  <c:v>30.682848841678069</c:v>
                </c:pt>
                <c:pt idx="35">
                  <c:v>58.935433190103922</c:v>
                </c:pt>
                <c:pt idx="36">
                  <c:v>39.081819064345034</c:v>
                </c:pt>
                <c:pt idx="37">
                  <c:v>66.035979380932815</c:v>
                </c:pt>
                <c:pt idx="38">
                  <c:v>25.239362972159878</c:v>
                </c:pt>
                <c:pt idx="39">
                  <c:v>47.84702477010169</c:v>
                </c:pt>
                <c:pt idx="40">
                  <c:v>11.951106205726827</c:v>
                </c:pt>
                <c:pt idx="41">
                  <c:v>28.129037485875834</c:v>
                </c:pt>
                <c:pt idx="42">
                  <c:v>48.704677000864883</c:v>
                </c:pt>
                <c:pt idx="43">
                  <c:v>31.316412803895119</c:v>
                </c:pt>
                <c:pt idx="44">
                  <c:v>36.836802095811734</c:v>
                </c:pt>
                <c:pt idx="45">
                  <c:v>36.223405630560912</c:v>
                </c:pt>
                <c:pt idx="46">
                  <c:v>34.209520068678515</c:v>
                </c:pt>
                <c:pt idx="47">
                  <c:v>31.607493862503766</c:v>
                </c:pt>
                <c:pt idx="48">
                  <c:v>41.414290860436388</c:v>
                </c:pt>
                <c:pt idx="49">
                  <c:v>41.359126034906822</c:v>
                </c:pt>
                <c:pt idx="50">
                  <c:v>32.127385493810273</c:v>
                </c:pt>
                <c:pt idx="51">
                  <c:v>92.525037766463385</c:v>
                </c:pt>
                <c:pt idx="52">
                  <c:v>46.088196324145223</c:v>
                </c:pt>
                <c:pt idx="53">
                  <c:v>57.033942463273945</c:v>
                </c:pt>
                <c:pt idx="54">
                  <c:v>53.418449777357445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7-CEBB-4D7F-A6D6-AE43D0A49C8C}"/>
            </c:ext>
          </c:extLst>
        </c:ser>
        <c:ser>
          <c:idx val="4"/>
          <c:order val="7"/>
          <c:tx>
            <c:strRef>
              <c:f>'Grafy 4'!$C$150</c:f>
              <c:strCache>
                <c:ptCount val="1"/>
                <c:pt idx="0">
                  <c:v>Mimo GPN bez přístupu na koncový trh</c:v>
                </c:pt>
              </c:strCache>
            </c:strRef>
          </c:tx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>
                  <a:lumMod val="20000"/>
                  <a:lumOff val="80000"/>
                </a:schemeClr>
              </a:solidFill>
              <a:ln w="9525">
                <a:solidFill>
                  <a:schemeClr val="accent1">
                    <a:lumMod val="20000"/>
                    <a:lumOff val="80000"/>
                  </a:schemeClr>
                </a:solidFill>
              </a:ln>
              <a:effectLst/>
            </c:spPr>
          </c:marker>
          <c:xVal>
            <c:numRef>
              <c:f>'Grafy 4'!$F$150:$F$171</c:f>
              <c:numCache>
                <c:formatCode>General</c:formatCode>
                <c:ptCount val="22"/>
                <c:pt idx="0">
                  <c:v>119.44348596164239</c:v>
                </c:pt>
                <c:pt idx="1">
                  <c:v>67.807662279462804</c:v>
                </c:pt>
                <c:pt idx="2">
                  <c:v>36.335125131360229</c:v>
                </c:pt>
                <c:pt idx="3">
                  <c:v>96.344072016432591</c:v>
                </c:pt>
                <c:pt idx="4">
                  <c:v>36.782862722569909</c:v>
                </c:pt>
                <c:pt idx="5">
                  <c:v>58.618308694342318</c:v>
                </c:pt>
                <c:pt idx="6">
                  <c:v>42.485769716677027</c:v>
                </c:pt>
                <c:pt idx="7">
                  <c:v>87.086670274511249</c:v>
                </c:pt>
                <c:pt idx="8">
                  <c:v>97.480909487462895</c:v>
                </c:pt>
                <c:pt idx="9">
                  <c:v>62.106155122974855</c:v>
                </c:pt>
                <c:pt idx="10">
                  <c:v>56.577428883965709</c:v>
                </c:pt>
                <c:pt idx="11">
                  <c:v>54.556536950137613</c:v>
                </c:pt>
                <c:pt idx="12">
                  <c:v>84.173264775959836</c:v>
                </c:pt>
                <c:pt idx="13">
                  <c:v>50.531532648394375</c:v>
                </c:pt>
                <c:pt idx="14">
                  <c:v>588.79460571257141</c:v>
                </c:pt>
                <c:pt idx="15">
                  <c:v>35.422844957371552</c:v>
                </c:pt>
                <c:pt idx="16">
                  <c:v>66.597683315531881</c:v>
                </c:pt>
                <c:pt idx="17">
                  <c:v>76.308239050200484</c:v>
                </c:pt>
                <c:pt idx="18">
                  <c:v>76.046101782347961</c:v>
                </c:pt>
                <c:pt idx="19">
                  <c:v>-10.1792554357705</c:v>
                </c:pt>
                <c:pt idx="20">
                  <c:v>111.89178715394685</c:v>
                </c:pt>
                <c:pt idx="21">
                  <c:v>25.65639567087527</c:v>
                </c:pt>
              </c:numCache>
            </c:numRef>
          </c:xVal>
          <c:yVal>
            <c:numRef>
              <c:f>'Grafy 4'!$G$150:$G$171</c:f>
              <c:numCache>
                <c:formatCode>General</c:formatCode>
                <c:ptCount val="22"/>
                <c:pt idx="0">
                  <c:v>36.131490134098954</c:v>
                </c:pt>
                <c:pt idx="1">
                  <c:v>32.829242504983938</c:v>
                </c:pt>
                <c:pt idx="2">
                  <c:v>39.733913715027903</c:v>
                </c:pt>
                <c:pt idx="3">
                  <c:v>41.077557061022446</c:v>
                </c:pt>
                <c:pt idx="4">
                  <c:v>41.324311261478975</c:v>
                </c:pt>
                <c:pt idx="5">
                  <c:v>27.632016086728449</c:v>
                </c:pt>
                <c:pt idx="6">
                  <c:v>52.666484865012272</c:v>
                </c:pt>
                <c:pt idx="7">
                  <c:v>30.35353068621713</c:v>
                </c:pt>
                <c:pt idx="8">
                  <c:v>19.980074365315161</c:v>
                </c:pt>
                <c:pt idx="9">
                  <c:v>59.718751531187223</c:v>
                </c:pt>
                <c:pt idx="10">
                  <c:v>69.189917410234898</c:v>
                </c:pt>
                <c:pt idx="11">
                  <c:v>6.8187427164964376</c:v>
                </c:pt>
                <c:pt idx="12">
                  <c:v>30.325306885051244</c:v>
                </c:pt>
                <c:pt idx="13">
                  <c:v>80.025608194622279</c:v>
                </c:pt>
                <c:pt idx="14">
                  <c:v>8.6928712366530405</c:v>
                </c:pt>
                <c:pt idx="15">
                  <c:v>49.43856756348773</c:v>
                </c:pt>
                <c:pt idx="16">
                  <c:v>27.057199958251026</c:v>
                </c:pt>
                <c:pt idx="17">
                  <c:v>61.92909264207254</c:v>
                </c:pt>
                <c:pt idx="18">
                  <c:v>74.239306566526921</c:v>
                </c:pt>
                <c:pt idx="19">
                  <c:v>51.970877388239664</c:v>
                </c:pt>
                <c:pt idx="20">
                  <c:v>47.556582454853071</c:v>
                </c:pt>
                <c:pt idx="21">
                  <c:v>17.447100228560529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8-CEBB-4D7F-A6D6-AE43D0A49C8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658529408"/>
        <c:axId val="658528448"/>
      </c:scatterChart>
      <c:valAx>
        <c:axId val="658529408"/>
        <c:scaling>
          <c:orientation val="minMax"/>
          <c:max val="150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r>
                  <a:rPr lang="cs-CZ" sz="800">
                    <a:solidFill>
                      <a:sysClr val="windowText" lastClr="000000"/>
                    </a:solidFill>
                    <a:latin typeface="Arial" panose="020B0604020202020204" pitchFamily="34" charset="0"/>
                    <a:cs typeface="Arial" panose="020B0604020202020204" pitchFamily="34" charset="0"/>
                  </a:rPr>
                  <a:t>Hodnota vytvořená</a:t>
                </a:r>
              </a:p>
            </c:rich>
          </c:tx>
          <c:layout>
            <c:manualLayout>
              <c:xMode val="edge"/>
              <c:yMode val="edge"/>
              <c:x val="0.42637723476054856"/>
              <c:y val="0.95375454068241461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800" b="0" i="0" u="none" strike="noStrike" kern="1200" baseline="0">
                  <a:solidFill>
                    <a:sysClr val="windowText" lastClr="000000"/>
                  </a:solidFill>
                  <a:latin typeface="Arial" panose="020B0604020202020204" pitchFamily="34" charset="0"/>
                  <a:ea typeface="+mn-ea"/>
                  <a:cs typeface="Arial" panose="020B0604020202020204" pitchFamily="34" charset="0"/>
                </a:defRPr>
              </a:pPr>
              <a:endParaRPr lang="cs-CZ"/>
            </a:p>
          </c:txPr>
        </c:title>
        <c:numFmt formatCode="0" sourceLinked="0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cs-CZ"/>
          </a:p>
        </c:txPr>
        <c:crossAx val="658528448"/>
        <c:crosses val="autoZero"/>
        <c:crossBetween val="midCat"/>
      </c:valAx>
      <c:valAx>
        <c:axId val="65852844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r>
                  <a:rPr lang="cs-CZ" sz="800">
                    <a:solidFill>
                      <a:sysClr val="windowText" lastClr="000000"/>
                    </a:solidFill>
                    <a:latin typeface="Arial" panose="020B0604020202020204" pitchFamily="34" charset="0"/>
                    <a:cs typeface="Arial" panose="020B0604020202020204" pitchFamily="34" charset="0"/>
                  </a:rPr>
                  <a:t>Hodnota udržená</a:t>
                </a:r>
              </a:p>
            </c:rich>
          </c:tx>
          <c:layout>
            <c:manualLayout>
              <c:xMode val="edge"/>
              <c:yMode val="edge"/>
              <c:x val="7.8098748294761029E-3"/>
              <c:y val="0.39576328958880141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800" b="0" i="0" u="none" strike="noStrike" kern="1200" baseline="0">
                  <a:solidFill>
                    <a:sysClr val="windowText" lastClr="000000"/>
                  </a:solidFill>
                  <a:latin typeface="Arial" panose="020B0604020202020204" pitchFamily="34" charset="0"/>
                  <a:ea typeface="+mn-ea"/>
                  <a:cs typeface="Arial" panose="020B0604020202020204" pitchFamily="34" charset="0"/>
                </a:defRPr>
              </a:pPr>
              <a:endParaRPr lang="cs-CZ"/>
            </a:p>
          </c:txPr>
        </c:title>
        <c:numFmt formatCode="0" sourceLinked="0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cs-CZ"/>
          </a:p>
        </c:txPr>
        <c:crossAx val="658529408"/>
        <c:crossesAt val="-100"/>
        <c:crossBetween val="midCat"/>
      </c:valAx>
      <c:spPr>
        <a:noFill/>
        <a:ln>
          <a:noFill/>
        </a:ln>
        <a:effectLst/>
      </c:spPr>
    </c:plotArea>
    <c:legend>
      <c:legendPos val="r"/>
      <c:legendEntry>
        <c:idx val="0"/>
        <c:delete val="1"/>
      </c:legendEntry>
      <c:layout>
        <c:manualLayout>
          <c:xMode val="edge"/>
          <c:yMode val="edge"/>
          <c:x val="0"/>
          <c:y val="6.6512405949256337E-2"/>
          <c:w val="0.99408419692219319"/>
          <c:h val="0.1774642169728784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cs-CZ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cs-CZ"/>
    </a:p>
  </c:txPr>
  <c:externalData r:id="rId3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cs-CZ" sz="1050" b="1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Graf 28: Průměrné hodnoty jednotlivých složek</a:t>
            </a:r>
            <a:r>
              <a:rPr lang="cs-CZ" sz="1050" b="1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 h</a:t>
            </a:r>
            <a:r>
              <a:rPr lang="cs-CZ" sz="1050" b="1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odnoty vytvořené podle</a:t>
            </a:r>
            <a:r>
              <a:rPr lang="cs-CZ" sz="1050" b="1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 postavení firmy v GPN (v tis. Kč)</a:t>
            </a:r>
          </a:p>
        </c:rich>
      </c:tx>
      <c:layout>
        <c:manualLayout>
          <c:xMode val="edge"/>
          <c:yMode val="edge"/>
          <c:x val="0.12826858563209401"/>
          <c:y val="1.2754849885080636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cs-CZ"/>
        </a:p>
      </c:txPr>
    </c:title>
    <c:autoTitleDeleted val="0"/>
    <c:plotArea>
      <c:layout>
        <c:manualLayout>
          <c:layoutTarget val="inner"/>
          <c:xMode val="edge"/>
          <c:yMode val="edge"/>
          <c:x val="7.4252082126097879E-2"/>
          <c:y val="0.19601900767888475"/>
          <c:w val="0.89519225721784779"/>
          <c:h val="0.64461440727552355"/>
        </c:manualLayout>
      </c:layout>
      <c:barChart>
        <c:barDir val="col"/>
        <c:grouping val="stacked"/>
        <c:varyColors val="0"/>
        <c:ser>
          <c:idx val="0"/>
          <c:order val="0"/>
          <c:tx>
            <c:strRef>
              <c:f>'Grafy 2b'!$A$11</c:f>
              <c:strCache>
                <c:ptCount val="1"/>
                <c:pt idx="0">
                  <c:v>medián obratu</c:v>
                </c:pt>
              </c:strCache>
            </c:strRef>
          </c:tx>
          <c:spPr>
            <a:solidFill>
              <a:srgbClr val="00B0F0"/>
            </a:solidFill>
            <a:ln>
              <a:noFill/>
            </a:ln>
            <a:effectLst/>
          </c:spPr>
          <c:invertIfNegative val="0"/>
          <c:cat>
            <c:strRef>
              <c:f>'Grafy 2b'!$A$3:$A$9</c:f>
              <c:strCache>
                <c:ptCount val="7"/>
                <c:pt idx="0">
                  <c:v>Vedoucí firma (integrátor)</c:v>
                </c:pt>
                <c:pt idx="1">
                  <c:v>Pobočka zahraniční vedoucí firmy</c:v>
                </c:pt>
                <c:pt idx="2">
                  <c:v>Dodavatel 1. řádu</c:v>
                </c:pt>
                <c:pt idx="3">
                  <c:v>Dodavatel 2. řádu</c:v>
                </c:pt>
                <c:pt idx="4">
                  <c:v>Dodavatel 3. řádu</c:v>
                </c:pt>
                <c:pt idx="5">
                  <c:v>Mimo GPN s přístupem na koncový trh</c:v>
                </c:pt>
                <c:pt idx="6">
                  <c:v>Mimo GPN bez přístupu na koncový trh</c:v>
                </c:pt>
              </c:strCache>
            </c:strRef>
          </c:cat>
          <c:val>
            <c:numRef>
              <c:f>'Grafy 2b'!$X$22:$X$28</c:f>
              <c:numCache>
                <c:formatCode>0.0</c:formatCode>
                <c:ptCount val="7"/>
                <c:pt idx="0">
                  <c:v>4302169.333333333</c:v>
                </c:pt>
                <c:pt idx="1">
                  <c:v>2038229.4130434783</c:v>
                </c:pt>
                <c:pt idx="2">
                  <c:v>3425723.9583333335</c:v>
                </c:pt>
                <c:pt idx="3">
                  <c:v>1344276.9032258065</c:v>
                </c:pt>
                <c:pt idx="4">
                  <c:v>770779.39130434778</c:v>
                </c:pt>
                <c:pt idx="5">
                  <c:v>308850.25454545452</c:v>
                </c:pt>
                <c:pt idx="6">
                  <c:v>314242.20454545453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3F8-444D-BB29-4EAEEE9BB9BA}"/>
            </c:ext>
          </c:extLst>
        </c:ser>
        <c:ser>
          <c:idx val="1"/>
          <c:order val="1"/>
          <c:tx>
            <c:strRef>
              <c:f>'Grafy 2b'!$A$12</c:f>
              <c:strCache>
                <c:ptCount val="1"/>
                <c:pt idx="0">
                  <c:v>přidaná hodnota </c:v>
                </c:pt>
              </c:strCache>
            </c:strRef>
          </c:tx>
          <c:spPr>
            <a:solidFill>
              <a:srgbClr val="FFC000"/>
            </a:solidFill>
            <a:ln>
              <a:noFill/>
            </a:ln>
            <a:effectLst/>
          </c:spPr>
          <c:invertIfNegative val="0"/>
          <c:cat>
            <c:strRef>
              <c:f>'Grafy 2b'!$A$3:$A$9</c:f>
              <c:strCache>
                <c:ptCount val="7"/>
                <c:pt idx="0">
                  <c:v>Vedoucí firma (integrátor)</c:v>
                </c:pt>
                <c:pt idx="1">
                  <c:v>Pobočka zahraniční vedoucí firmy</c:v>
                </c:pt>
                <c:pt idx="2">
                  <c:v>Dodavatel 1. řádu</c:v>
                </c:pt>
                <c:pt idx="3">
                  <c:v>Dodavatel 2. řádu</c:v>
                </c:pt>
                <c:pt idx="4">
                  <c:v>Dodavatel 3. řádu</c:v>
                </c:pt>
                <c:pt idx="5">
                  <c:v>Mimo GPN s přístupem na koncový trh</c:v>
                </c:pt>
                <c:pt idx="6">
                  <c:v>Mimo GPN bez přístupu na koncový trh</c:v>
                </c:pt>
              </c:strCache>
            </c:strRef>
          </c:cat>
          <c:val>
            <c:numRef>
              <c:f>'Grafy 2b'!$Y$22:$Y$28</c:f>
              <c:numCache>
                <c:formatCode>0.0</c:formatCode>
                <c:ptCount val="7"/>
                <c:pt idx="0">
                  <c:v>718825.66666666663</c:v>
                </c:pt>
                <c:pt idx="1">
                  <c:v>439217.52173913043</c:v>
                </c:pt>
                <c:pt idx="2">
                  <c:v>674916.41666666663</c:v>
                </c:pt>
                <c:pt idx="3">
                  <c:v>322532.93548387097</c:v>
                </c:pt>
                <c:pt idx="4">
                  <c:v>234172.60869565216</c:v>
                </c:pt>
                <c:pt idx="5">
                  <c:v>89808.436363636371</c:v>
                </c:pt>
                <c:pt idx="6">
                  <c:v>68573.5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63F8-444D-BB29-4EAEEE9BB9BA}"/>
            </c:ext>
          </c:extLst>
        </c:ser>
        <c:ser>
          <c:idx val="2"/>
          <c:order val="2"/>
          <c:tx>
            <c:strRef>
              <c:f>'Grafy 2b'!$A$13</c:f>
              <c:strCache>
                <c:ptCount val="1"/>
                <c:pt idx="0">
                  <c:v>zisk před zdaněním</c:v>
                </c:pt>
              </c:strCache>
            </c:strRef>
          </c:tx>
          <c:spPr>
            <a:solidFill>
              <a:srgbClr val="FF0000"/>
            </a:solidFill>
            <a:ln>
              <a:noFill/>
            </a:ln>
            <a:effectLst/>
          </c:spPr>
          <c:invertIfNegative val="0"/>
          <c:cat>
            <c:strRef>
              <c:f>'Grafy 2b'!$A$3:$A$9</c:f>
              <c:strCache>
                <c:ptCount val="7"/>
                <c:pt idx="0">
                  <c:v>Vedoucí firma (integrátor)</c:v>
                </c:pt>
                <c:pt idx="1">
                  <c:v>Pobočka zahraniční vedoucí firmy</c:v>
                </c:pt>
                <c:pt idx="2">
                  <c:v>Dodavatel 1. řádu</c:v>
                </c:pt>
                <c:pt idx="3">
                  <c:v>Dodavatel 2. řádu</c:v>
                </c:pt>
                <c:pt idx="4">
                  <c:v>Dodavatel 3. řádu</c:v>
                </c:pt>
                <c:pt idx="5">
                  <c:v>Mimo GPN s přístupem na koncový trh</c:v>
                </c:pt>
                <c:pt idx="6">
                  <c:v>Mimo GPN bez přístupu na koncový trh</c:v>
                </c:pt>
              </c:strCache>
            </c:strRef>
          </c:cat>
          <c:val>
            <c:numRef>
              <c:f>'Grafy 2b'!$Z$22:$Z$28</c:f>
              <c:numCache>
                <c:formatCode>0.0</c:formatCode>
                <c:ptCount val="7"/>
                <c:pt idx="0">
                  <c:v>-29707.666666666668</c:v>
                </c:pt>
                <c:pt idx="1">
                  <c:v>119817.39130434782</c:v>
                </c:pt>
                <c:pt idx="2">
                  <c:v>68440.333333333328</c:v>
                </c:pt>
                <c:pt idx="3">
                  <c:v>21426.83870967742</c:v>
                </c:pt>
                <c:pt idx="4">
                  <c:v>55285.130434782608</c:v>
                </c:pt>
                <c:pt idx="5">
                  <c:v>18736.436363636363</c:v>
                </c:pt>
                <c:pt idx="6">
                  <c:v>12131.431818181818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63F8-444D-BB29-4EAEEE9BB9B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50"/>
        <c:overlap val="100"/>
        <c:axId val="337575087"/>
        <c:axId val="337570287"/>
      </c:barChart>
      <c:catAx>
        <c:axId val="337575087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cs-CZ"/>
          </a:p>
        </c:txPr>
        <c:crossAx val="337570287"/>
        <c:crossesAt val="-1000000"/>
        <c:auto val="1"/>
        <c:lblAlgn val="ctr"/>
        <c:lblOffset val="100"/>
        <c:noMultiLvlLbl val="0"/>
      </c:catAx>
      <c:valAx>
        <c:axId val="337570287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" sourceLinked="0"/>
        <c:majorTickMark val="none"/>
        <c:minorTickMark val="none"/>
        <c:tickLblPos val="nextTo"/>
        <c:spPr>
          <a:noFill/>
          <a:ln>
            <a:solidFill>
              <a:schemeClr val="tx1">
                <a:lumMod val="15000"/>
                <a:lumOff val="85000"/>
              </a:schemeClr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cs-CZ"/>
          </a:p>
        </c:txPr>
        <c:crossAx val="337575087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18832246962507171"/>
          <c:y val="0.12419256550883608"/>
          <c:w val="0.62080679674076888"/>
          <c:h val="6.5033751515005581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cs-CZ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cs-CZ"/>
    </a:p>
  </c:txPr>
  <c:externalData r:id="rId3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cs-CZ" sz="1050" b="1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Graf 29: </a:t>
            </a:r>
            <a:r>
              <a:rPr lang="cs-CZ" sz="1050" b="1" i="0" u="none" strike="noStrike" kern="1200" spc="0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Průměrné hodnoty jednotlivých složek hodnoty </a:t>
            </a:r>
            <a:r>
              <a:rPr lang="cs-CZ" sz="1050" b="1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udržené podle</a:t>
            </a:r>
            <a:r>
              <a:rPr lang="cs-CZ" sz="1050" b="1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 postavení firmy v GPN (v tis. Kč)</a:t>
            </a:r>
          </a:p>
        </c:rich>
      </c:tx>
      <c:layout>
        <c:manualLayout>
          <c:xMode val="edge"/>
          <c:yMode val="edge"/>
          <c:x val="0.1238535745945664"/>
          <c:y val="8.219104521482553E-3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cs-CZ"/>
        </a:p>
      </c:txPr>
    </c:title>
    <c:autoTitleDeleted val="0"/>
    <c:plotArea>
      <c:layout>
        <c:manualLayout>
          <c:layoutTarget val="inner"/>
          <c:xMode val="edge"/>
          <c:yMode val="edge"/>
          <c:x val="7.4252187226596669E-2"/>
          <c:y val="0.15577719870443327"/>
          <c:w val="0.89519225721784779"/>
          <c:h val="0.71465171753028345"/>
        </c:manualLayout>
      </c:layout>
      <c:barChart>
        <c:barDir val="col"/>
        <c:grouping val="stacked"/>
        <c:varyColors val="0"/>
        <c:ser>
          <c:idx val="0"/>
          <c:order val="0"/>
          <c:tx>
            <c:strRef>
              <c:f>'Grafy 2b'!$A$15</c:f>
              <c:strCache>
                <c:ptCount val="1"/>
                <c:pt idx="0">
                  <c:v>personální náklady</c:v>
                </c:pt>
              </c:strCache>
            </c:strRef>
          </c:tx>
          <c:spPr>
            <a:solidFill>
              <a:srgbClr val="92D050"/>
            </a:solidFill>
            <a:ln>
              <a:noFill/>
            </a:ln>
            <a:effectLst/>
          </c:spPr>
          <c:invertIfNegative val="0"/>
          <c:cat>
            <c:strRef>
              <c:f>'Grafy 2b'!$A$3:$A$9</c:f>
              <c:strCache>
                <c:ptCount val="7"/>
                <c:pt idx="0">
                  <c:v>Vedoucí firma (integrátor)</c:v>
                </c:pt>
                <c:pt idx="1">
                  <c:v>Pobočka zahraniční vedoucí firmy</c:v>
                </c:pt>
                <c:pt idx="2">
                  <c:v>Dodavatel 1. řádu</c:v>
                </c:pt>
                <c:pt idx="3">
                  <c:v>Dodavatel 2. řádu</c:v>
                </c:pt>
                <c:pt idx="4">
                  <c:v>Dodavatel 3. řádu</c:v>
                </c:pt>
                <c:pt idx="5">
                  <c:v>Mimo GPN s přístupem na koncový trh</c:v>
                </c:pt>
                <c:pt idx="6">
                  <c:v>Mimo GPN bez přístupu na koncový trh</c:v>
                </c:pt>
              </c:strCache>
            </c:strRef>
          </c:cat>
          <c:val>
            <c:numRef>
              <c:f>'Grafy 2b'!$AB$22:$AB$28</c:f>
              <c:numCache>
                <c:formatCode>0.0</c:formatCode>
                <c:ptCount val="7"/>
                <c:pt idx="0">
                  <c:v>476225.33333333331</c:v>
                </c:pt>
                <c:pt idx="1">
                  <c:v>274021.47826086957</c:v>
                </c:pt>
                <c:pt idx="2">
                  <c:v>518550.91666666669</c:v>
                </c:pt>
                <c:pt idx="3">
                  <c:v>249107.38709677418</c:v>
                </c:pt>
                <c:pt idx="4">
                  <c:v>151757</c:v>
                </c:pt>
                <c:pt idx="5">
                  <c:v>62025.090909090912</c:v>
                </c:pt>
                <c:pt idx="6">
                  <c:v>48078.38636363636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4DA-4E76-920C-2A463B9B3349}"/>
            </c:ext>
          </c:extLst>
        </c:ser>
        <c:ser>
          <c:idx val="1"/>
          <c:order val="1"/>
          <c:tx>
            <c:strRef>
              <c:f>'Grafy 2b'!$A$16</c:f>
              <c:strCache>
                <c:ptCount val="1"/>
                <c:pt idx="0">
                  <c:v>odpisy</c:v>
                </c:pt>
              </c:strCache>
            </c:strRef>
          </c:tx>
          <c:spPr>
            <a:solidFill>
              <a:srgbClr val="FFC000"/>
            </a:solidFill>
            <a:ln>
              <a:noFill/>
            </a:ln>
            <a:effectLst/>
          </c:spPr>
          <c:invertIfNegative val="0"/>
          <c:cat>
            <c:strRef>
              <c:f>'Grafy 2b'!$A$3:$A$9</c:f>
              <c:strCache>
                <c:ptCount val="7"/>
                <c:pt idx="0">
                  <c:v>Vedoucí firma (integrátor)</c:v>
                </c:pt>
                <c:pt idx="1">
                  <c:v>Pobočka zahraniční vedoucí firmy</c:v>
                </c:pt>
                <c:pt idx="2">
                  <c:v>Dodavatel 1. řádu</c:v>
                </c:pt>
                <c:pt idx="3">
                  <c:v>Dodavatel 2. řádu</c:v>
                </c:pt>
                <c:pt idx="4">
                  <c:v>Dodavatel 3. řádu</c:v>
                </c:pt>
                <c:pt idx="5">
                  <c:v>Mimo GPN s přístupem na koncový trh</c:v>
                </c:pt>
                <c:pt idx="6">
                  <c:v>Mimo GPN bez přístupu na koncový trh</c:v>
                </c:pt>
              </c:strCache>
            </c:strRef>
          </c:cat>
          <c:val>
            <c:numRef>
              <c:f>'Grafy 2b'!$AC$22:$AC$28</c:f>
              <c:numCache>
                <c:formatCode>0.0</c:formatCode>
                <c:ptCount val="7"/>
                <c:pt idx="0">
                  <c:v>106049</c:v>
                </c:pt>
                <c:pt idx="1">
                  <c:v>70936.304347826081</c:v>
                </c:pt>
                <c:pt idx="2">
                  <c:v>63368.63925</c:v>
                </c:pt>
                <c:pt idx="3">
                  <c:v>51716.451612903227</c:v>
                </c:pt>
                <c:pt idx="4">
                  <c:v>30736.260869565216</c:v>
                </c:pt>
                <c:pt idx="5">
                  <c:v>11640.472727272727</c:v>
                </c:pt>
                <c:pt idx="6">
                  <c:v>8634.7272727272721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E4DA-4E76-920C-2A463B9B3349}"/>
            </c:ext>
          </c:extLst>
        </c:ser>
        <c:ser>
          <c:idx val="2"/>
          <c:order val="2"/>
          <c:tx>
            <c:strRef>
              <c:f>'Grafy 2b'!$A$17</c:f>
              <c:strCache>
                <c:ptCount val="1"/>
                <c:pt idx="0">
                  <c:v>daň z příjmu</c:v>
                </c:pt>
              </c:strCache>
            </c:strRef>
          </c:tx>
          <c:spPr>
            <a:solidFill>
              <a:srgbClr val="7030A0"/>
            </a:solidFill>
            <a:ln>
              <a:noFill/>
            </a:ln>
            <a:effectLst/>
          </c:spPr>
          <c:invertIfNegative val="0"/>
          <c:cat>
            <c:strRef>
              <c:f>'Grafy 2b'!$A$3:$A$9</c:f>
              <c:strCache>
                <c:ptCount val="7"/>
                <c:pt idx="0">
                  <c:v>Vedoucí firma (integrátor)</c:v>
                </c:pt>
                <c:pt idx="1">
                  <c:v>Pobočka zahraniční vedoucí firmy</c:v>
                </c:pt>
                <c:pt idx="2">
                  <c:v>Dodavatel 1. řádu</c:v>
                </c:pt>
                <c:pt idx="3">
                  <c:v>Dodavatel 2. řádu</c:v>
                </c:pt>
                <c:pt idx="4">
                  <c:v>Dodavatel 3. řádu</c:v>
                </c:pt>
                <c:pt idx="5">
                  <c:v>Mimo GPN s přístupem na koncový trh</c:v>
                </c:pt>
                <c:pt idx="6">
                  <c:v>Mimo GPN bez přístupu na koncový trh</c:v>
                </c:pt>
              </c:strCache>
            </c:strRef>
          </c:cat>
          <c:val>
            <c:numRef>
              <c:f>'Grafy 2b'!$AD$22:$AD$28</c:f>
              <c:numCache>
                <c:formatCode>0.0</c:formatCode>
                <c:ptCount val="7"/>
                <c:pt idx="0">
                  <c:v>304.33333333333331</c:v>
                </c:pt>
                <c:pt idx="1">
                  <c:v>23057.608695652172</c:v>
                </c:pt>
                <c:pt idx="2">
                  <c:v>18779.833333333332</c:v>
                </c:pt>
                <c:pt idx="3">
                  <c:v>5748.2580645161288</c:v>
                </c:pt>
                <c:pt idx="4">
                  <c:v>12730.869565217392</c:v>
                </c:pt>
                <c:pt idx="5">
                  <c:v>3222.8</c:v>
                </c:pt>
                <c:pt idx="6">
                  <c:v>3367.590909090909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E4DA-4E76-920C-2A463B9B334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50"/>
        <c:overlap val="100"/>
        <c:axId val="337575087"/>
        <c:axId val="337570287"/>
      </c:barChart>
      <c:catAx>
        <c:axId val="337575087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cs-CZ"/>
          </a:p>
        </c:txPr>
        <c:crossAx val="337570287"/>
        <c:crossesAt val="-40"/>
        <c:auto val="1"/>
        <c:lblAlgn val="ctr"/>
        <c:lblOffset val="100"/>
        <c:noMultiLvlLbl val="0"/>
      </c:catAx>
      <c:valAx>
        <c:axId val="337570287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" sourceLinked="0"/>
        <c:majorTickMark val="none"/>
        <c:minorTickMark val="none"/>
        <c:tickLblPos val="nextTo"/>
        <c:spPr>
          <a:noFill/>
          <a:ln>
            <a:solidFill>
              <a:schemeClr val="tx1">
                <a:lumMod val="15000"/>
                <a:lumOff val="85000"/>
              </a:schemeClr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cs-CZ"/>
          </a:p>
        </c:txPr>
        <c:crossAx val="337575087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17728494203125272"/>
          <c:y val="0.10510313095285199"/>
          <c:w val="0.63575371828521432"/>
          <c:h val="5.5893641435524076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cs-CZ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cs-CZ"/>
    </a:p>
  </c:txPr>
  <c:externalData r:id="rId3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cs-CZ" sz="1050" b="1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Graf 30: Vztah</a:t>
            </a:r>
            <a:r>
              <a:rPr lang="cs-CZ" sz="1050" b="1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 přidané hodnoty a personálních nákladů</a:t>
            </a:r>
            <a:endParaRPr lang="cs-CZ" sz="1050" b="1">
              <a:solidFill>
                <a:sysClr val="windowText" lastClr="000000"/>
              </a:solidFill>
              <a:latin typeface="Arial" panose="020B0604020202020204" pitchFamily="34" charset="0"/>
              <a:cs typeface="Arial" panose="020B0604020202020204" pitchFamily="34" charset="0"/>
            </a:endParaRPr>
          </a:p>
        </c:rich>
      </c:tx>
      <c:layout>
        <c:manualLayout>
          <c:xMode val="edge"/>
          <c:yMode val="edge"/>
          <c:x val="0.19290974044911052"/>
          <c:y val="7.4220329709541506E-5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cs-CZ"/>
        </a:p>
      </c:txPr>
    </c:title>
    <c:autoTitleDeleted val="0"/>
    <c:plotArea>
      <c:layout>
        <c:manualLayout>
          <c:layoutTarget val="inner"/>
          <c:xMode val="edge"/>
          <c:yMode val="edge"/>
          <c:x val="0.11682984071435513"/>
          <c:y val="0.23735400767211789"/>
          <c:w val="0.83560631309975142"/>
          <c:h val="0.64886993741166965"/>
        </c:manualLayout>
      </c:layout>
      <c:scatterChart>
        <c:scatterStyle val="lineMarker"/>
        <c:varyColors val="0"/>
        <c:ser>
          <c:idx val="5"/>
          <c:order val="0"/>
          <c:tx>
            <c:v>Všechny ES</c:v>
          </c:tx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rgbClr val="FF0000"/>
              </a:solidFill>
              <a:ln w="9525">
                <a:solidFill>
                  <a:srgbClr val="FF0000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tx2">
                    <a:lumMod val="75000"/>
                    <a:lumOff val="25000"/>
                  </a:schemeClr>
                </a:solidFill>
                <a:prstDash val="sysDot"/>
              </a:ln>
              <a:effectLst/>
            </c:spPr>
            <c:trendlineType val="linear"/>
            <c:dispRSqr val="1"/>
            <c:dispEq val="1"/>
            <c:trendlineLbl>
              <c:layout>
                <c:manualLayout>
                  <c:x val="0.11975621102917691"/>
                  <c:y val="0.45926405780969154"/>
                </c:manualLayout>
              </c:layout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800" b="0" i="0" u="none" strike="noStrike" kern="1200" baseline="0">
                      <a:solidFill>
                        <a:sysClr val="windowText" lastClr="000000"/>
                      </a:solidFill>
                      <a:latin typeface="Arial" panose="020B0604020202020204" pitchFamily="34" charset="0"/>
                      <a:ea typeface="+mn-ea"/>
                      <a:cs typeface="Arial" panose="020B0604020202020204" pitchFamily="34" charset="0"/>
                    </a:defRPr>
                  </a:pPr>
                  <a:endParaRPr lang="cs-CZ"/>
                </a:p>
              </c:txPr>
            </c:trendlineLbl>
          </c:trendline>
          <c:xVal>
            <c:numRef>
              <c:f>'Grafy 4'!$O$3:$O$171</c:f>
              <c:numCache>
                <c:formatCode>0</c:formatCode>
                <c:ptCount val="169"/>
                <c:pt idx="0">
                  <c:v>1115551</c:v>
                </c:pt>
                <c:pt idx="1">
                  <c:v>269208</c:v>
                </c:pt>
                <c:pt idx="2">
                  <c:v>43917</c:v>
                </c:pt>
                <c:pt idx="3">
                  <c:v>926254</c:v>
                </c:pt>
                <c:pt idx="4">
                  <c:v>876202</c:v>
                </c:pt>
                <c:pt idx="5">
                  <c:v>589673</c:v>
                </c:pt>
                <c:pt idx="6">
                  <c:v>179316</c:v>
                </c:pt>
                <c:pt idx="7">
                  <c:v>122227</c:v>
                </c:pt>
                <c:pt idx="8">
                  <c:v>53129</c:v>
                </c:pt>
                <c:pt idx="9">
                  <c:v>41975</c:v>
                </c:pt>
                <c:pt idx="10">
                  <c:v>59846</c:v>
                </c:pt>
                <c:pt idx="11">
                  <c:v>112017</c:v>
                </c:pt>
                <c:pt idx="12">
                  <c:v>59295</c:v>
                </c:pt>
                <c:pt idx="13">
                  <c:v>173880</c:v>
                </c:pt>
                <c:pt idx="14">
                  <c:v>106465</c:v>
                </c:pt>
                <c:pt idx="15">
                  <c:v>891651.00000000012</c:v>
                </c:pt>
                <c:pt idx="16">
                  <c:v>480277</c:v>
                </c:pt>
                <c:pt idx="17">
                  <c:v>273010</c:v>
                </c:pt>
                <c:pt idx="18">
                  <c:v>294852.00000000006</c:v>
                </c:pt>
                <c:pt idx="19">
                  <c:v>67602</c:v>
                </c:pt>
                <c:pt idx="20">
                  <c:v>70222.000000000015</c:v>
                </c:pt>
                <c:pt idx="21">
                  <c:v>67118</c:v>
                </c:pt>
                <c:pt idx="22">
                  <c:v>58014</c:v>
                </c:pt>
                <c:pt idx="23">
                  <c:v>530963</c:v>
                </c:pt>
                <c:pt idx="24">
                  <c:v>51660.000000000007</c:v>
                </c:pt>
                <c:pt idx="25">
                  <c:v>216846</c:v>
                </c:pt>
                <c:pt idx="26">
                  <c:v>893215</c:v>
                </c:pt>
                <c:pt idx="27">
                  <c:v>707152</c:v>
                </c:pt>
                <c:pt idx="28">
                  <c:v>593642</c:v>
                </c:pt>
                <c:pt idx="29">
                  <c:v>190416</c:v>
                </c:pt>
                <c:pt idx="30">
                  <c:v>189557.00000000003</c:v>
                </c:pt>
                <c:pt idx="31">
                  <c:v>307830</c:v>
                </c:pt>
                <c:pt idx="32">
                  <c:v>62582</c:v>
                </c:pt>
                <c:pt idx="33">
                  <c:v>1375611</c:v>
                </c:pt>
                <c:pt idx="34">
                  <c:v>741707</c:v>
                </c:pt>
                <c:pt idx="35">
                  <c:v>412576</c:v>
                </c:pt>
                <c:pt idx="36">
                  <c:v>588981</c:v>
                </c:pt>
                <c:pt idx="37">
                  <c:v>159342</c:v>
                </c:pt>
                <c:pt idx="38">
                  <c:v>228130</c:v>
                </c:pt>
                <c:pt idx="39">
                  <c:v>161414.00000000003</c:v>
                </c:pt>
                <c:pt idx="40">
                  <c:v>126774</c:v>
                </c:pt>
                <c:pt idx="41">
                  <c:v>70513</c:v>
                </c:pt>
                <c:pt idx="42">
                  <c:v>72043</c:v>
                </c:pt>
                <c:pt idx="43">
                  <c:v>110162</c:v>
                </c:pt>
                <c:pt idx="44">
                  <c:v>57913</c:v>
                </c:pt>
                <c:pt idx="45">
                  <c:v>446303</c:v>
                </c:pt>
                <c:pt idx="46">
                  <c:v>337945</c:v>
                </c:pt>
                <c:pt idx="47">
                  <c:v>136698</c:v>
                </c:pt>
                <c:pt idx="48">
                  <c:v>55300.000000000007</c:v>
                </c:pt>
                <c:pt idx="49">
                  <c:v>162905</c:v>
                </c:pt>
                <c:pt idx="50">
                  <c:v>102185</c:v>
                </c:pt>
                <c:pt idx="51">
                  <c:v>127725.00000000001</c:v>
                </c:pt>
                <c:pt idx="52">
                  <c:v>132560</c:v>
                </c:pt>
                <c:pt idx="53">
                  <c:v>72706</c:v>
                </c:pt>
                <c:pt idx="54">
                  <c:v>55876</c:v>
                </c:pt>
                <c:pt idx="55">
                  <c:v>955716</c:v>
                </c:pt>
                <c:pt idx="56">
                  <c:v>1146955</c:v>
                </c:pt>
                <c:pt idx="57">
                  <c:v>715728.00000000012</c:v>
                </c:pt>
                <c:pt idx="58">
                  <c:v>744063</c:v>
                </c:pt>
                <c:pt idx="59">
                  <c:v>273545</c:v>
                </c:pt>
                <c:pt idx="60">
                  <c:v>213773</c:v>
                </c:pt>
                <c:pt idx="61">
                  <c:v>96257</c:v>
                </c:pt>
                <c:pt idx="62">
                  <c:v>156750</c:v>
                </c:pt>
                <c:pt idx="63">
                  <c:v>105577</c:v>
                </c:pt>
                <c:pt idx="64">
                  <c:v>95595</c:v>
                </c:pt>
                <c:pt idx="65">
                  <c:v>110010</c:v>
                </c:pt>
                <c:pt idx="66">
                  <c:v>96384</c:v>
                </c:pt>
                <c:pt idx="67">
                  <c:v>108247</c:v>
                </c:pt>
                <c:pt idx="68">
                  <c:v>446577</c:v>
                </c:pt>
                <c:pt idx="69">
                  <c:v>123429</c:v>
                </c:pt>
                <c:pt idx="70">
                  <c:v>102029</c:v>
                </c:pt>
                <c:pt idx="71">
                  <c:v>62037</c:v>
                </c:pt>
                <c:pt idx="72">
                  <c:v>46483.000000000007</c:v>
                </c:pt>
                <c:pt idx="73">
                  <c:v>375127</c:v>
                </c:pt>
                <c:pt idx="74">
                  <c:v>30125</c:v>
                </c:pt>
                <c:pt idx="75">
                  <c:v>73992</c:v>
                </c:pt>
                <c:pt idx="76">
                  <c:v>59925.000000000007</c:v>
                </c:pt>
                <c:pt idx="77">
                  <c:v>663063</c:v>
                </c:pt>
                <c:pt idx="78">
                  <c:v>69523</c:v>
                </c:pt>
                <c:pt idx="79">
                  <c:v>97204.000000000015</c:v>
                </c:pt>
                <c:pt idx="80">
                  <c:v>493285</c:v>
                </c:pt>
                <c:pt idx="81">
                  <c:v>223917</c:v>
                </c:pt>
                <c:pt idx="82">
                  <c:v>289724</c:v>
                </c:pt>
                <c:pt idx="83">
                  <c:v>156311</c:v>
                </c:pt>
                <c:pt idx="84">
                  <c:v>148813.00000000003</c:v>
                </c:pt>
                <c:pt idx="85">
                  <c:v>95052</c:v>
                </c:pt>
                <c:pt idx="86">
                  <c:v>100355</c:v>
                </c:pt>
                <c:pt idx="87">
                  <c:v>70257</c:v>
                </c:pt>
                <c:pt idx="88">
                  <c:v>58457</c:v>
                </c:pt>
                <c:pt idx="89">
                  <c:v>73897</c:v>
                </c:pt>
                <c:pt idx="90">
                  <c:v>45742.000000000007</c:v>
                </c:pt>
                <c:pt idx="91">
                  <c:v>31664</c:v>
                </c:pt>
                <c:pt idx="92">
                  <c:v>82334</c:v>
                </c:pt>
                <c:pt idx="93">
                  <c:v>61397</c:v>
                </c:pt>
                <c:pt idx="94">
                  <c:v>76253</c:v>
                </c:pt>
                <c:pt idx="95">
                  <c:v>44100</c:v>
                </c:pt>
                <c:pt idx="96">
                  <c:v>52439</c:v>
                </c:pt>
                <c:pt idx="97">
                  <c:v>36247</c:v>
                </c:pt>
                <c:pt idx="98">
                  <c:v>25023</c:v>
                </c:pt>
                <c:pt idx="99">
                  <c:v>25862.000000000004</c:v>
                </c:pt>
                <c:pt idx="100">
                  <c:v>104981.00000000001</c:v>
                </c:pt>
                <c:pt idx="101">
                  <c:v>22663</c:v>
                </c:pt>
                <c:pt idx="102">
                  <c:v>34110</c:v>
                </c:pt>
                <c:pt idx="103">
                  <c:v>53516</c:v>
                </c:pt>
                <c:pt idx="104">
                  <c:v>27349</c:v>
                </c:pt>
                <c:pt idx="105">
                  <c:v>17495</c:v>
                </c:pt>
                <c:pt idx="106">
                  <c:v>95420</c:v>
                </c:pt>
                <c:pt idx="107">
                  <c:v>124938</c:v>
                </c:pt>
                <c:pt idx="108">
                  <c:v>139863</c:v>
                </c:pt>
                <c:pt idx="109">
                  <c:v>42702</c:v>
                </c:pt>
                <c:pt idx="110">
                  <c:v>42472</c:v>
                </c:pt>
                <c:pt idx="111">
                  <c:v>28896</c:v>
                </c:pt>
                <c:pt idx="112">
                  <c:v>40637</c:v>
                </c:pt>
                <c:pt idx="113">
                  <c:v>43694</c:v>
                </c:pt>
                <c:pt idx="114">
                  <c:v>41457</c:v>
                </c:pt>
                <c:pt idx="115">
                  <c:v>46384</c:v>
                </c:pt>
                <c:pt idx="116">
                  <c:v>53029</c:v>
                </c:pt>
                <c:pt idx="117">
                  <c:v>37187</c:v>
                </c:pt>
                <c:pt idx="118">
                  <c:v>54129</c:v>
                </c:pt>
                <c:pt idx="119">
                  <c:v>27263</c:v>
                </c:pt>
                <c:pt idx="120">
                  <c:v>19647.000000000004</c:v>
                </c:pt>
                <c:pt idx="121">
                  <c:v>43670</c:v>
                </c:pt>
                <c:pt idx="122">
                  <c:v>317766</c:v>
                </c:pt>
                <c:pt idx="123">
                  <c:v>132637</c:v>
                </c:pt>
                <c:pt idx="124">
                  <c:v>55266</c:v>
                </c:pt>
                <c:pt idx="125">
                  <c:v>64968</c:v>
                </c:pt>
                <c:pt idx="126">
                  <c:v>54951</c:v>
                </c:pt>
                <c:pt idx="127">
                  <c:v>72087</c:v>
                </c:pt>
                <c:pt idx="128">
                  <c:v>63709</c:v>
                </c:pt>
                <c:pt idx="129">
                  <c:v>101181</c:v>
                </c:pt>
                <c:pt idx="130">
                  <c:v>37862</c:v>
                </c:pt>
                <c:pt idx="131">
                  <c:v>42226</c:v>
                </c:pt>
                <c:pt idx="132">
                  <c:v>31018</c:v>
                </c:pt>
                <c:pt idx="133">
                  <c:v>80001</c:v>
                </c:pt>
                <c:pt idx="134">
                  <c:v>52920</c:v>
                </c:pt>
                <c:pt idx="135">
                  <c:v>35440</c:v>
                </c:pt>
                <c:pt idx="136">
                  <c:v>24393</c:v>
                </c:pt>
                <c:pt idx="137">
                  <c:v>271654</c:v>
                </c:pt>
                <c:pt idx="138">
                  <c:v>108559</c:v>
                </c:pt>
                <c:pt idx="139">
                  <c:v>27469</c:v>
                </c:pt>
                <c:pt idx="140">
                  <c:v>38907</c:v>
                </c:pt>
                <c:pt idx="141">
                  <c:v>65303</c:v>
                </c:pt>
                <c:pt idx="142">
                  <c:v>30425</c:v>
                </c:pt>
                <c:pt idx="143">
                  <c:v>45098</c:v>
                </c:pt>
                <c:pt idx="144">
                  <c:v>44444</c:v>
                </c:pt>
                <c:pt idx="145">
                  <c:v>23573</c:v>
                </c:pt>
                <c:pt idx="146">
                  <c:v>44366</c:v>
                </c:pt>
                <c:pt idx="147">
                  <c:v>120880</c:v>
                </c:pt>
                <c:pt idx="148">
                  <c:v>49390</c:v>
                </c:pt>
                <c:pt idx="149">
                  <c:v>20356</c:v>
                </c:pt>
                <c:pt idx="150">
                  <c:v>30986</c:v>
                </c:pt>
                <c:pt idx="151">
                  <c:v>32985</c:v>
                </c:pt>
                <c:pt idx="152">
                  <c:v>50498</c:v>
                </c:pt>
                <c:pt idx="153">
                  <c:v>39821</c:v>
                </c:pt>
                <c:pt idx="154">
                  <c:v>28536</c:v>
                </c:pt>
                <c:pt idx="155">
                  <c:v>41871.5</c:v>
                </c:pt>
                <c:pt idx="156">
                  <c:v>107018.5</c:v>
                </c:pt>
                <c:pt idx="157">
                  <c:v>53381.5</c:v>
                </c:pt>
                <c:pt idx="158">
                  <c:v>28091.5</c:v>
                </c:pt>
                <c:pt idx="159">
                  <c:v>30428</c:v>
                </c:pt>
                <c:pt idx="160">
                  <c:v>27798.5</c:v>
                </c:pt>
                <c:pt idx="161">
                  <c:v>74657</c:v>
                </c:pt>
                <c:pt idx="162">
                  <c:v>37769</c:v>
                </c:pt>
                <c:pt idx="163">
                  <c:v>49054</c:v>
                </c:pt>
                <c:pt idx="164">
                  <c:v>30352.5</c:v>
                </c:pt>
                <c:pt idx="165">
                  <c:v>27939.5</c:v>
                </c:pt>
                <c:pt idx="166">
                  <c:v>68472</c:v>
                </c:pt>
                <c:pt idx="167">
                  <c:v>46746</c:v>
                </c:pt>
                <c:pt idx="168">
                  <c:v>60693</c:v>
                </c:pt>
              </c:numCache>
            </c:numRef>
          </c:xVal>
          <c:yVal>
            <c:numRef>
              <c:f>'Grafy 4'!$L$3:$L$171</c:f>
              <c:numCache>
                <c:formatCode>0</c:formatCode>
                <c:ptCount val="169"/>
                <c:pt idx="0">
                  <c:v>1732882</c:v>
                </c:pt>
                <c:pt idx="1">
                  <c:v>376341</c:v>
                </c:pt>
                <c:pt idx="2">
                  <c:v>47254</c:v>
                </c:pt>
                <c:pt idx="3">
                  <c:v>1313216.0000000002</c:v>
                </c:pt>
                <c:pt idx="4">
                  <c:v>1821238</c:v>
                </c:pt>
                <c:pt idx="5">
                  <c:v>770027</c:v>
                </c:pt>
                <c:pt idx="6">
                  <c:v>455337</c:v>
                </c:pt>
                <c:pt idx="7">
                  <c:v>467780.00000000006</c:v>
                </c:pt>
                <c:pt idx="8">
                  <c:v>58097</c:v>
                </c:pt>
                <c:pt idx="9">
                  <c:v>58714</c:v>
                </c:pt>
                <c:pt idx="10">
                  <c:v>86589</c:v>
                </c:pt>
                <c:pt idx="11">
                  <c:v>174680</c:v>
                </c:pt>
                <c:pt idx="12">
                  <c:v>78476</c:v>
                </c:pt>
                <c:pt idx="13">
                  <c:v>240052</c:v>
                </c:pt>
                <c:pt idx="14">
                  <c:v>116476</c:v>
                </c:pt>
                <c:pt idx="15">
                  <c:v>1565217</c:v>
                </c:pt>
                <c:pt idx="16">
                  <c:v>633942</c:v>
                </c:pt>
                <c:pt idx="17">
                  <c:v>438980</c:v>
                </c:pt>
                <c:pt idx="18">
                  <c:v>432204</c:v>
                </c:pt>
                <c:pt idx="19">
                  <c:v>148128</c:v>
                </c:pt>
                <c:pt idx="20">
                  <c:v>88004</c:v>
                </c:pt>
                <c:pt idx="21">
                  <c:v>85686</c:v>
                </c:pt>
                <c:pt idx="22">
                  <c:v>58827</c:v>
                </c:pt>
                <c:pt idx="23">
                  <c:v>616407</c:v>
                </c:pt>
                <c:pt idx="24">
                  <c:v>67587</c:v>
                </c:pt>
                <c:pt idx="25">
                  <c:v>326339</c:v>
                </c:pt>
                <c:pt idx="26">
                  <c:v>1158202</c:v>
                </c:pt>
                <c:pt idx="27">
                  <c:v>1454779</c:v>
                </c:pt>
                <c:pt idx="28">
                  <c:v>890841</c:v>
                </c:pt>
                <c:pt idx="29">
                  <c:v>273424</c:v>
                </c:pt>
                <c:pt idx="30">
                  <c:v>203352</c:v>
                </c:pt>
                <c:pt idx="31">
                  <c:v>417380</c:v>
                </c:pt>
                <c:pt idx="32">
                  <c:v>67333</c:v>
                </c:pt>
                <c:pt idx="33">
                  <c:v>1647555</c:v>
                </c:pt>
                <c:pt idx="34">
                  <c:v>887931</c:v>
                </c:pt>
                <c:pt idx="35">
                  <c:v>470556</c:v>
                </c:pt>
                <c:pt idx="36">
                  <c:v>451001.00000000006</c:v>
                </c:pt>
                <c:pt idx="37">
                  <c:v>176643</c:v>
                </c:pt>
                <c:pt idx="38">
                  <c:v>264320</c:v>
                </c:pt>
                <c:pt idx="39">
                  <c:v>175376</c:v>
                </c:pt>
                <c:pt idx="40">
                  <c:v>146742</c:v>
                </c:pt>
                <c:pt idx="41">
                  <c:v>74771</c:v>
                </c:pt>
                <c:pt idx="42">
                  <c:v>151452</c:v>
                </c:pt>
                <c:pt idx="43">
                  <c:v>270817</c:v>
                </c:pt>
                <c:pt idx="44">
                  <c:v>73287</c:v>
                </c:pt>
                <c:pt idx="45">
                  <c:v>492906</c:v>
                </c:pt>
                <c:pt idx="46">
                  <c:v>418644</c:v>
                </c:pt>
                <c:pt idx="47">
                  <c:v>144245</c:v>
                </c:pt>
                <c:pt idx="48">
                  <c:v>64914</c:v>
                </c:pt>
                <c:pt idx="49">
                  <c:v>176455</c:v>
                </c:pt>
                <c:pt idx="50">
                  <c:v>157194.00000000003</c:v>
                </c:pt>
                <c:pt idx="51">
                  <c:v>164330</c:v>
                </c:pt>
                <c:pt idx="52">
                  <c:v>272107</c:v>
                </c:pt>
                <c:pt idx="53">
                  <c:v>81213.000000000015</c:v>
                </c:pt>
                <c:pt idx="54">
                  <c:v>89379</c:v>
                </c:pt>
                <c:pt idx="55">
                  <c:v>1068665</c:v>
                </c:pt>
                <c:pt idx="56">
                  <c:v>1561897</c:v>
                </c:pt>
                <c:pt idx="57">
                  <c:v>814994</c:v>
                </c:pt>
                <c:pt idx="58">
                  <c:v>1072950</c:v>
                </c:pt>
                <c:pt idx="59">
                  <c:v>365650.00000000006</c:v>
                </c:pt>
                <c:pt idx="60">
                  <c:v>324684</c:v>
                </c:pt>
                <c:pt idx="61">
                  <c:v>158611</c:v>
                </c:pt>
                <c:pt idx="62">
                  <c:v>213525</c:v>
                </c:pt>
                <c:pt idx="63">
                  <c:v>30383</c:v>
                </c:pt>
                <c:pt idx="64">
                  <c:v>38572</c:v>
                </c:pt>
                <c:pt idx="65">
                  <c:v>163876</c:v>
                </c:pt>
                <c:pt idx="66">
                  <c:v>197965</c:v>
                </c:pt>
                <c:pt idx="67">
                  <c:v>141801.00000000003</c:v>
                </c:pt>
                <c:pt idx="68">
                  <c:v>626796</c:v>
                </c:pt>
                <c:pt idx="69">
                  <c:v>189614</c:v>
                </c:pt>
                <c:pt idx="70">
                  <c:v>109479</c:v>
                </c:pt>
                <c:pt idx="71">
                  <c:v>72827</c:v>
                </c:pt>
                <c:pt idx="72">
                  <c:v>66851</c:v>
                </c:pt>
                <c:pt idx="73">
                  <c:v>1316875</c:v>
                </c:pt>
                <c:pt idx="74">
                  <c:v>18834</c:v>
                </c:pt>
                <c:pt idx="75">
                  <c:v>74763</c:v>
                </c:pt>
                <c:pt idx="76">
                  <c:v>73825</c:v>
                </c:pt>
                <c:pt idx="77">
                  <c:v>832536</c:v>
                </c:pt>
                <c:pt idx="78">
                  <c:v>79591.000000000015</c:v>
                </c:pt>
                <c:pt idx="79">
                  <c:v>102860</c:v>
                </c:pt>
                <c:pt idx="80">
                  <c:v>709000</c:v>
                </c:pt>
                <c:pt idx="81">
                  <c:v>420606</c:v>
                </c:pt>
                <c:pt idx="82">
                  <c:v>326915</c:v>
                </c:pt>
                <c:pt idx="83">
                  <c:v>166642</c:v>
                </c:pt>
                <c:pt idx="84">
                  <c:v>273747</c:v>
                </c:pt>
                <c:pt idx="85">
                  <c:v>169517</c:v>
                </c:pt>
                <c:pt idx="86">
                  <c:v>105395</c:v>
                </c:pt>
                <c:pt idx="87">
                  <c:v>76432</c:v>
                </c:pt>
                <c:pt idx="88">
                  <c:v>51712</c:v>
                </c:pt>
                <c:pt idx="89">
                  <c:v>36854</c:v>
                </c:pt>
                <c:pt idx="90">
                  <c:v>75312</c:v>
                </c:pt>
                <c:pt idx="91">
                  <c:v>35783</c:v>
                </c:pt>
                <c:pt idx="92">
                  <c:v>125889</c:v>
                </c:pt>
                <c:pt idx="93">
                  <c:v>74656</c:v>
                </c:pt>
                <c:pt idx="94">
                  <c:v>86198.000000000015</c:v>
                </c:pt>
                <c:pt idx="95">
                  <c:v>49064</c:v>
                </c:pt>
                <c:pt idx="96">
                  <c:v>86913</c:v>
                </c:pt>
                <c:pt idx="97">
                  <c:v>22193</c:v>
                </c:pt>
                <c:pt idx="98">
                  <c:v>36701</c:v>
                </c:pt>
                <c:pt idx="99">
                  <c:v>29022.000000000004</c:v>
                </c:pt>
                <c:pt idx="100">
                  <c:v>109944</c:v>
                </c:pt>
                <c:pt idx="101">
                  <c:v>28003</c:v>
                </c:pt>
                <c:pt idx="102">
                  <c:v>73377</c:v>
                </c:pt>
                <c:pt idx="103">
                  <c:v>62761</c:v>
                </c:pt>
                <c:pt idx="104">
                  <c:v>27592.000000000004</c:v>
                </c:pt>
                <c:pt idx="105">
                  <c:v>21589.000000000004</c:v>
                </c:pt>
                <c:pt idx="106">
                  <c:v>124064</c:v>
                </c:pt>
                <c:pt idx="107">
                  <c:v>188111</c:v>
                </c:pt>
                <c:pt idx="108">
                  <c:v>170213</c:v>
                </c:pt>
                <c:pt idx="109">
                  <c:v>45832</c:v>
                </c:pt>
                <c:pt idx="110">
                  <c:v>49480.000000000007</c:v>
                </c:pt>
                <c:pt idx="111">
                  <c:v>30671</c:v>
                </c:pt>
                <c:pt idx="112">
                  <c:v>120534</c:v>
                </c:pt>
                <c:pt idx="113">
                  <c:v>50478</c:v>
                </c:pt>
                <c:pt idx="114">
                  <c:v>101642</c:v>
                </c:pt>
                <c:pt idx="115">
                  <c:v>53770</c:v>
                </c:pt>
                <c:pt idx="116">
                  <c:v>56867.000000000007</c:v>
                </c:pt>
                <c:pt idx="117">
                  <c:v>47378</c:v>
                </c:pt>
                <c:pt idx="118">
                  <c:v>70967</c:v>
                </c:pt>
                <c:pt idx="119">
                  <c:v>39612</c:v>
                </c:pt>
                <c:pt idx="120">
                  <c:v>46385</c:v>
                </c:pt>
                <c:pt idx="121">
                  <c:v>70527</c:v>
                </c:pt>
                <c:pt idx="122">
                  <c:v>434778</c:v>
                </c:pt>
                <c:pt idx="123">
                  <c:v>178785</c:v>
                </c:pt>
                <c:pt idx="124">
                  <c:v>66994</c:v>
                </c:pt>
                <c:pt idx="125">
                  <c:v>126922</c:v>
                </c:pt>
                <c:pt idx="126">
                  <c:v>80128</c:v>
                </c:pt>
                <c:pt idx="127">
                  <c:v>83768</c:v>
                </c:pt>
                <c:pt idx="128">
                  <c:v>67747</c:v>
                </c:pt>
                <c:pt idx="129">
                  <c:v>117937</c:v>
                </c:pt>
                <c:pt idx="130">
                  <c:v>29499.000000000004</c:v>
                </c:pt>
                <c:pt idx="131">
                  <c:v>48704</c:v>
                </c:pt>
                <c:pt idx="132">
                  <c:v>53491</c:v>
                </c:pt>
                <c:pt idx="133">
                  <c:v>140882</c:v>
                </c:pt>
                <c:pt idx="134">
                  <c:v>62791.000000000007</c:v>
                </c:pt>
                <c:pt idx="135">
                  <c:v>37770</c:v>
                </c:pt>
                <c:pt idx="136">
                  <c:v>30790</c:v>
                </c:pt>
                <c:pt idx="137">
                  <c:v>631125</c:v>
                </c:pt>
                <c:pt idx="138">
                  <c:v>193775</c:v>
                </c:pt>
                <c:pt idx="139">
                  <c:v>34650</c:v>
                </c:pt>
                <c:pt idx="140">
                  <c:v>71065</c:v>
                </c:pt>
                <c:pt idx="141">
                  <c:v>71185</c:v>
                </c:pt>
                <c:pt idx="142">
                  <c:v>31126</c:v>
                </c:pt>
                <c:pt idx="143">
                  <c:v>73830</c:v>
                </c:pt>
                <c:pt idx="144">
                  <c:v>77030</c:v>
                </c:pt>
                <c:pt idx="145">
                  <c:v>27465</c:v>
                </c:pt>
                <c:pt idx="146">
                  <c:v>66794</c:v>
                </c:pt>
                <c:pt idx="147">
                  <c:v>163791</c:v>
                </c:pt>
                <c:pt idx="148">
                  <c:v>171792</c:v>
                </c:pt>
                <c:pt idx="149">
                  <c:v>22362.000000000004</c:v>
                </c:pt>
                <c:pt idx="150">
                  <c:v>55527</c:v>
                </c:pt>
                <c:pt idx="151">
                  <c:v>38799</c:v>
                </c:pt>
                <c:pt idx="152">
                  <c:v>63972</c:v>
                </c:pt>
                <c:pt idx="153">
                  <c:v>48709</c:v>
                </c:pt>
                <c:pt idx="154">
                  <c:v>29618.000000000004</c:v>
                </c:pt>
                <c:pt idx="155">
                  <c:v>51143</c:v>
                </c:pt>
                <c:pt idx="156">
                  <c:v>122116.5</c:v>
                </c:pt>
                <c:pt idx="157">
                  <c:v>73826</c:v>
                </c:pt>
                <c:pt idx="158">
                  <c:v>71883.5</c:v>
                </c:pt>
                <c:pt idx="159">
                  <c:v>32138</c:v>
                </c:pt>
                <c:pt idx="160">
                  <c:v>31151.5</c:v>
                </c:pt>
                <c:pt idx="161">
                  <c:v>11531.499999999985</c:v>
                </c:pt>
                <c:pt idx="162">
                  <c:v>40358</c:v>
                </c:pt>
                <c:pt idx="163">
                  <c:v>73819</c:v>
                </c:pt>
                <c:pt idx="164">
                  <c:v>38755.5</c:v>
                </c:pt>
                <c:pt idx="165">
                  <c:v>29921</c:v>
                </c:pt>
                <c:pt idx="166">
                  <c:v>82877.5</c:v>
                </c:pt>
                <c:pt idx="167">
                  <c:v>130575</c:v>
                </c:pt>
                <c:pt idx="168">
                  <c:v>123951.00000000001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3F28-4169-855F-A5649F09AD61}"/>
            </c:ext>
          </c:extLst>
        </c:ser>
        <c:ser>
          <c:idx val="0"/>
          <c:order val="1"/>
          <c:tx>
            <c:strRef>
              <c:f>'Grafy 4'!$C$3</c:f>
              <c:strCache>
                <c:ptCount val="1"/>
                <c:pt idx="0">
                  <c:v>Vedoucí firma (integrátor)</c:v>
                </c:pt>
              </c:strCache>
            </c:strRef>
          </c:tx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rgbClr val="7030A0"/>
              </a:solidFill>
              <a:ln w="9525">
                <a:solidFill>
                  <a:srgbClr val="7030A0"/>
                </a:solidFill>
              </a:ln>
              <a:effectLst/>
            </c:spPr>
          </c:marker>
          <c:xVal>
            <c:numRef>
              <c:f>'Grafy 4'!$O$3:$O$5</c:f>
              <c:numCache>
                <c:formatCode>0</c:formatCode>
                <c:ptCount val="3"/>
                <c:pt idx="0">
                  <c:v>1115551</c:v>
                </c:pt>
                <c:pt idx="1">
                  <c:v>269208</c:v>
                </c:pt>
                <c:pt idx="2">
                  <c:v>43917</c:v>
                </c:pt>
              </c:numCache>
            </c:numRef>
          </c:xVal>
          <c:yVal>
            <c:numRef>
              <c:f>'Grafy 4'!$L$3:$L$5</c:f>
              <c:numCache>
                <c:formatCode>0</c:formatCode>
                <c:ptCount val="3"/>
                <c:pt idx="0">
                  <c:v>1732882</c:v>
                </c:pt>
                <c:pt idx="1">
                  <c:v>376341</c:v>
                </c:pt>
                <c:pt idx="2">
                  <c:v>47254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3F28-4169-855F-A5649F09AD61}"/>
            </c:ext>
          </c:extLst>
        </c:ser>
        <c:ser>
          <c:idx val="1"/>
          <c:order val="2"/>
          <c:tx>
            <c:strRef>
              <c:f>'Grafy 4'!$C$6</c:f>
              <c:strCache>
                <c:ptCount val="1"/>
                <c:pt idx="0">
                  <c:v>Pobočka zahraniční vedoucí firmy</c:v>
                </c:pt>
              </c:strCache>
            </c:strRef>
          </c:tx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rgbClr val="FF0000"/>
              </a:solidFill>
              <a:ln w="9525">
                <a:solidFill>
                  <a:srgbClr val="FF0000"/>
                </a:solidFill>
              </a:ln>
              <a:effectLst/>
            </c:spPr>
          </c:marker>
          <c:xVal>
            <c:numRef>
              <c:f>'Grafy 4'!$O$6:$O$28</c:f>
              <c:numCache>
                <c:formatCode>0</c:formatCode>
                <c:ptCount val="23"/>
                <c:pt idx="0">
                  <c:v>926254</c:v>
                </c:pt>
                <c:pt idx="1">
                  <c:v>876202</c:v>
                </c:pt>
                <c:pt idx="2">
                  <c:v>589673</c:v>
                </c:pt>
                <c:pt idx="3">
                  <c:v>179316</c:v>
                </c:pt>
                <c:pt idx="4">
                  <c:v>122227</c:v>
                </c:pt>
                <c:pt idx="5">
                  <c:v>53129</c:v>
                </c:pt>
                <c:pt idx="6">
                  <c:v>41975</c:v>
                </c:pt>
                <c:pt idx="7">
                  <c:v>59846</c:v>
                </c:pt>
                <c:pt idx="8">
                  <c:v>112017</c:v>
                </c:pt>
                <c:pt idx="9">
                  <c:v>59295</c:v>
                </c:pt>
                <c:pt idx="10">
                  <c:v>173880</c:v>
                </c:pt>
                <c:pt idx="11">
                  <c:v>106465</c:v>
                </c:pt>
                <c:pt idx="12">
                  <c:v>891651.00000000012</c:v>
                </c:pt>
                <c:pt idx="13">
                  <c:v>480277</c:v>
                </c:pt>
                <c:pt idx="14">
                  <c:v>273010</c:v>
                </c:pt>
                <c:pt idx="15">
                  <c:v>294852.00000000006</c:v>
                </c:pt>
                <c:pt idx="16">
                  <c:v>67602</c:v>
                </c:pt>
                <c:pt idx="17">
                  <c:v>70222.000000000015</c:v>
                </c:pt>
                <c:pt idx="18">
                  <c:v>67118</c:v>
                </c:pt>
                <c:pt idx="19">
                  <c:v>58014</c:v>
                </c:pt>
                <c:pt idx="20">
                  <c:v>530963</c:v>
                </c:pt>
                <c:pt idx="21">
                  <c:v>51660.000000000007</c:v>
                </c:pt>
                <c:pt idx="22">
                  <c:v>216846</c:v>
                </c:pt>
              </c:numCache>
            </c:numRef>
          </c:xVal>
          <c:yVal>
            <c:numRef>
              <c:f>'Grafy 4'!$L$6:$L$28</c:f>
              <c:numCache>
                <c:formatCode>0</c:formatCode>
                <c:ptCount val="23"/>
                <c:pt idx="0">
                  <c:v>1313216.0000000002</c:v>
                </c:pt>
                <c:pt idx="1">
                  <c:v>1821238</c:v>
                </c:pt>
                <c:pt idx="2">
                  <c:v>770027</c:v>
                </c:pt>
                <c:pt idx="3">
                  <c:v>455337</c:v>
                </c:pt>
                <c:pt idx="4">
                  <c:v>467780.00000000006</c:v>
                </c:pt>
                <c:pt idx="5">
                  <c:v>58097</c:v>
                </c:pt>
                <c:pt idx="6">
                  <c:v>58714</c:v>
                </c:pt>
                <c:pt idx="7">
                  <c:v>86589</c:v>
                </c:pt>
                <c:pt idx="8">
                  <c:v>174680</c:v>
                </c:pt>
                <c:pt idx="9">
                  <c:v>78476</c:v>
                </c:pt>
                <c:pt idx="10">
                  <c:v>240052</c:v>
                </c:pt>
                <c:pt idx="11">
                  <c:v>116476</c:v>
                </c:pt>
                <c:pt idx="12">
                  <c:v>1565217</c:v>
                </c:pt>
                <c:pt idx="13">
                  <c:v>633942</c:v>
                </c:pt>
                <c:pt idx="14">
                  <c:v>438980</c:v>
                </c:pt>
                <c:pt idx="15">
                  <c:v>432204</c:v>
                </c:pt>
                <c:pt idx="16">
                  <c:v>148128</c:v>
                </c:pt>
                <c:pt idx="17">
                  <c:v>88004</c:v>
                </c:pt>
                <c:pt idx="18">
                  <c:v>85686</c:v>
                </c:pt>
                <c:pt idx="19">
                  <c:v>58827</c:v>
                </c:pt>
                <c:pt idx="20">
                  <c:v>616407</c:v>
                </c:pt>
                <c:pt idx="21">
                  <c:v>67587</c:v>
                </c:pt>
                <c:pt idx="22">
                  <c:v>326339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3-3F28-4169-855F-A5649F09AD61}"/>
            </c:ext>
          </c:extLst>
        </c:ser>
        <c:ser>
          <c:idx val="6"/>
          <c:order val="3"/>
          <c:tx>
            <c:strRef>
              <c:f>'Grafy 4'!$C$29</c:f>
              <c:strCache>
                <c:ptCount val="1"/>
                <c:pt idx="0">
                  <c:v>Dodavatel 1. řádu</c:v>
                </c:pt>
              </c:strCache>
            </c:strRef>
          </c:tx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xVal>
            <c:numRef>
              <c:f>'Grafy 4'!$O$29:$O$40</c:f>
              <c:numCache>
                <c:formatCode>0</c:formatCode>
                <c:ptCount val="12"/>
                <c:pt idx="0">
                  <c:v>893215</c:v>
                </c:pt>
                <c:pt idx="1">
                  <c:v>707152</c:v>
                </c:pt>
                <c:pt idx="2">
                  <c:v>593642</c:v>
                </c:pt>
                <c:pt idx="3">
                  <c:v>190416</c:v>
                </c:pt>
                <c:pt idx="4">
                  <c:v>189557.00000000003</c:v>
                </c:pt>
                <c:pt idx="5">
                  <c:v>307830</c:v>
                </c:pt>
                <c:pt idx="6">
                  <c:v>62582</c:v>
                </c:pt>
                <c:pt idx="7">
                  <c:v>1375611</c:v>
                </c:pt>
                <c:pt idx="8">
                  <c:v>741707</c:v>
                </c:pt>
                <c:pt idx="9">
                  <c:v>412576</c:v>
                </c:pt>
                <c:pt idx="10">
                  <c:v>588981</c:v>
                </c:pt>
                <c:pt idx="11">
                  <c:v>159342</c:v>
                </c:pt>
              </c:numCache>
            </c:numRef>
          </c:xVal>
          <c:yVal>
            <c:numRef>
              <c:f>'Grafy 4'!$L$29:$L$40</c:f>
              <c:numCache>
                <c:formatCode>0</c:formatCode>
                <c:ptCount val="12"/>
                <c:pt idx="0">
                  <c:v>1158202</c:v>
                </c:pt>
                <c:pt idx="1">
                  <c:v>1454779</c:v>
                </c:pt>
                <c:pt idx="2">
                  <c:v>890841</c:v>
                </c:pt>
                <c:pt idx="3">
                  <c:v>273424</c:v>
                </c:pt>
                <c:pt idx="4">
                  <c:v>203352</c:v>
                </c:pt>
                <c:pt idx="5">
                  <c:v>417380</c:v>
                </c:pt>
                <c:pt idx="6">
                  <c:v>67333</c:v>
                </c:pt>
                <c:pt idx="7">
                  <c:v>1647555</c:v>
                </c:pt>
                <c:pt idx="8">
                  <c:v>887931</c:v>
                </c:pt>
                <c:pt idx="9">
                  <c:v>470556</c:v>
                </c:pt>
                <c:pt idx="10">
                  <c:v>451001.00000000006</c:v>
                </c:pt>
                <c:pt idx="11">
                  <c:v>176643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4-3F28-4169-855F-A5649F09AD61}"/>
            </c:ext>
          </c:extLst>
        </c:ser>
        <c:ser>
          <c:idx val="7"/>
          <c:order val="4"/>
          <c:tx>
            <c:strRef>
              <c:f>'Grafy 4'!$C$41</c:f>
              <c:strCache>
                <c:ptCount val="1"/>
                <c:pt idx="0">
                  <c:v>Dodavatel 2. řádu</c:v>
                </c:pt>
              </c:strCache>
            </c:strRef>
          </c:tx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rgbClr val="FFC000"/>
              </a:solidFill>
              <a:ln w="9525">
                <a:solidFill>
                  <a:srgbClr val="FFC000"/>
                </a:solidFill>
              </a:ln>
              <a:effectLst/>
            </c:spPr>
          </c:marker>
          <c:xVal>
            <c:numRef>
              <c:f>'Grafy 4'!$O$41:$O$71</c:f>
              <c:numCache>
                <c:formatCode>0</c:formatCode>
                <c:ptCount val="31"/>
                <c:pt idx="0">
                  <c:v>228130</c:v>
                </c:pt>
                <c:pt idx="1">
                  <c:v>161414.00000000003</c:v>
                </c:pt>
                <c:pt idx="2">
                  <c:v>126774</c:v>
                </c:pt>
                <c:pt idx="3">
                  <c:v>70513</c:v>
                </c:pt>
                <c:pt idx="4">
                  <c:v>72043</c:v>
                </c:pt>
                <c:pt idx="5">
                  <c:v>110162</c:v>
                </c:pt>
                <c:pt idx="6">
                  <c:v>57913</c:v>
                </c:pt>
                <c:pt idx="7">
                  <c:v>446303</c:v>
                </c:pt>
                <c:pt idx="8">
                  <c:v>337945</c:v>
                </c:pt>
                <c:pt idx="9">
                  <c:v>136698</c:v>
                </c:pt>
                <c:pt idx="10">
                  <c:v>55300.000000000007</c:v>
                </c:pt>
                <c:pt idx="11">
                  <c:v>162905</c:v>
                </c:pt>
                <c:pt idx="12">
                  <c:v>102185</c:v>
                </c:pt>
                <c:pt idx="13">
                  <c:v>127725.00000000001</c:v>
                </c:pt>
                <c:pt idx="14">
                  <c:v>132560</c:v>
                </c:pt>
                <c:pt idx="15">
                  <c:v>72706</c:v>
                </c:pt>
                <c:pt idx="16">
                  <c:v>55876</c:v>
                </c:pt>
                <c:pt idx="17">
                  <c:v>955716</c:v>
                </c:pt>
                <c:pt idx="18">
                  <c:v>1146955</c:v>
                </c:pt>
                <c:pt idx="19">
                  <c:v>715728.00000000012</c:v>
                </c:pt>
                <c:pt idx="20">
                  <c:v>744063</c:v>
                </c:pt>
                <c:pt idx="21">
                  <c:v>273545</c:v>
                </c:pt>
                <c:pt idx="22">
                  <c:v>213773</c:v>
                </c:pt>
                <c:pt idx="23">
                  <c:v>96257</c:v>
                </c:pt>
                <c:pt idx="24">
                  <c:v>156750</c:v>
                </c:pt>
                <c:pt idx="25">
                  <c:v>105577</c:v>
                </c:pt>
                <c:pt idx="26">
                  <c:v>95595</c:v>
                </c:pt>
                <c:pt idx="27">
                  <c:v>110010</c:v>
                </c:pt>
                <c:pt idx="28">
                  <c:v>96384</c:v>
                </c:pt>
                <c:pt idx="29">
                  <c:v>108247</c:v>
                </c:pt>
                <c:pt idx="30">
                  <c:v>446577</c:v>
                </c:pt>
              </c:numCache>
            </c:numRef>
          </c:xVal>
          <c:yVal>
            <c:numRef>
              <c:f>'Grafy 4'!$L$41:$L$71</c:f>
              <c:numCache>
                <c:formatCode>0</c:formatCode>
                <c:ptCount val="31"/>
                <c:pt idx="0">
                  <c:v>264320</c:v>
                </c:pt>
                <c:pt idx="1">
                  <c:v>175376</c:v>
                </c:pt>
                <c:pt idx="2">
                  <c:v>146742</c:v>
                </c:pt>
                <c:pt idx="3">
                  <c:v>74771</c:v>
                </c:pt>
                <c:pt idx="4">
                  <c:v>151452</c:v>
                </c:pt>
                <c:pt idx="5">
                  <c:v>270817</c:v>
                </c:pt>
                <c:pt idx="6">
                  <c:v>73287</c:v>
                </c:pt>
                <c:pt idx="7">
                  <c:v>492906</c:v>
                </c:pt>
                <c:pt idx="8">
                  <c:v>418644</c:v>
                </c:pt>
                <c:pt idx="9">
                  <c:v>144245</c:v>
                </c:pt>
                <c:pt idx="10">
                  <c:v>64914</c:v>
                </c:pt>
                <c:pt idx="11">
                  <c:v>176455</c:v>
                </c:pt>
                <c:pt idx="12">
                  <c:v>157194.00000000003</c:v>
                </c:pt>
                <c:pt idx="13">
                  <c:v>164330</c:v>
                </c:pt>
                <c:pt idx="14">
                  <c:v>272107</c:v>
                </c:pt>
                <c:pt idx="15">
                  <c:v>81213.000000000015</c:v>
                </c:pt>
                <c:pt idx="16">
                  <c:v>89379</c:v>
                </c:pt>
                <c:pt idx="17">
                  <c:v>1068665</c:v>
                </c:pt>
                <c:pt idx="18">
                  <c:v>1561897</c:v>
                </c:pt>
                <c:pt idx="19">
                  <c:v>814994</c:v>
                </c:pt>
                <c:pt idx="20">
                  <c:v>1072950</c:v>
                </c:pt>
                <c:pt idx="21">
                  <c:v>365650.00000000006</c:v>
                </c:pt>
                <c:pt idx="22">
                  <c:v>324684</c:v>
                </c:pt>
                <c:pt idx="23">
                  <c:v>158611</c:v>
                </c:pt>
                <c:pt idx="24">
                  <c:v>213525</c:v>
                </c:pt>
                <c:pt idx="25">
                  <c:v>30383</c:v>
                </c:pt>
                <c:pt idx="26">
                  <c:v>38572</c:v>
                </c:pt>
                <c:pt idx="27">
                  <c:v>163876</c:v>
                </c:pt>
                <c:pt idx="28">
                  <c:v>197965</c:v>
                </c:pt>
                <c:pt idx="29">
                  <c:v>141801.00000000003</c:v>
                </c:pt>
                <c:pt idx="30">
                  <c:v>626796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5-3F28-4169-855F-A5649F09AD61}"/>
            </c:ext>
          </c:extLst>
        </c:ser>
        <c:ser>
          <c:idx val="2"/>
          <c:order val="5"/>
          <c:tx>
            <c:strRef>
              <c:f>'Grafy 4'!$C$72</c:f>
              <c:strCache>
                <c:ptCount val="1"/>
                <c:pt idx="0">
                  <c:v>Dodavatel 3. řádu</c:v>
                </c:pt>
              </c:strCache>
            </c:strRef>
          </c:tx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rgbClr val="FFFF00"/>
              </a:solidFill>
              <a:ln w="9525">
                <a:solidFill>
                  <a:srgbClr val="FFFF00"/>
                </a:solidFill>
              </a:ln>
              <a:effectLst/>
            </c:spPr>
          </c:marker>
          <c:xVal>
            <c:numRef>
              <c:f>'Grafy 4'!$O$72:$O$94</c:f>
              <c:numCache>
                <c:formatCode>0</c:formatCode>
                <c:ptCount val="23"/>
                <c:pt idx="0">
                  <c:v>123429</c:v>
                </c:pt>
                <c:pt idx="1">
                  <c:v>102029</c:v>
                </c:pt>
                <c:pt idx="2">
                  <c:v>62037</c:v>
                </c:pt>
                <c:pt idx="3">
                  <c:v>46483.000000000007</c:v>
                </c:pt>
                <c:pt idx="4">
                  <c:v>375127</c:v>
                </c:pt>
                <c:pt idx="5">
                  <c:v>30125</c:v>
                </c:pt>
                <c:pt idx="6">
                  <c:v>73992</c:v>
                </c:pt>
                <c:pt idx="7">
                  <c:v>59925.000000000007</c:v>
                </c:pt>
                <c:pt idx="8">
                  <c:v>663063</c:v>
                </c:pt>
                <c:pt idx="9">
                  <c:v>69523</c:v>
                </c:pt>
                <c:pt idx="10">
                  <c:v>97204.000000000015</c:v>
                </c:pt>
                <c:pt idx="11">
                  <c:v>493285</c:v>
                </c:pt>
                <c:pt idx="12">
                  <c:v>223917</c:v>
                </c:pt>
                <c:pt idx="13">
                  <c:v>289724</c:v>
                </c:pt>
                <c:pt idx="14">
                  <c:v>156311</c:v>
                </c:pt>
                <c:pt idx="15">
                  <c:v>148813.00000000003</c:v>
                </c:pt>
                <c:pt idx="16">
                  <c:v>95052</c:v>
                </c:pt>
                <c:pt idx="17">
                  <c:v>100355</c:v>
                </c:pt>
                <c:pt idx="18">
                  <c:v>70257</c:v>
                </c:pt>
                <c:pt idx="19">
                  <c:v>58457</c:v>
                </c:pt>
                <c:pt idx="20">
                  <c:v>73897</c:v>
                </c:pt>
                <c:pt idx="21">
                  <c:v>45742.000000000007</c:v>
                </c:pt>
                <c:pt idx="22">
                  <c:v>31664</c:v>
                </c:pt>
              </c:numCache>
            </c:numRef>
          </c:xVal>
          <c:yVal>
            <c:numRef>
              <c:f>'Grafy 4'!$L$72:$L$94</c:f>
              <c:numCache>
                <c:formatCode>0</c:formatCode>
                <c:ptCount val="23"/>
                <c:pt idx="0">
                  <c:v>189614</c:v>
                </c:pt>
                <c:pt idx="1">
                  <c:v>109479</c:v>
                </c:pt>
                <c:pt idx="2">
                  <c:v>72827</c:v>
                </c:pt>
                <c:pt idx="3">
                  <c:v>66851</c:v>
                </c:pt>
                <c:pt idx="4">
                  <c:v>1316875</c:v>
                </c:pt>
                <c:pt idx="5">
                  <c:v>18834</c:v>
                </c:pt>
                <c:pt idx="6">
                  <c:v>74763</c:v>
                </c:pt>
                <c:pt idx="7">
                  <c:v>73825</c:v>
                </c:pt>
                <c:pt idx="8">
                  <c:v>832536</c:v>
                </c:pt>
                <c:pt idx="9">
                  <c:v>79591.000000000015</c:v>
                </c:pt>
                <c:pt idx="10">
                  <c:v>102860</c:v>
                </c:pt>
                <c:pt idx="11">
                  <c:v>709000</c:v>
                </c:pt>
                <c:pt idx="12">
                  <c:v>420606</c:v>
                </c:pt>
                <c:pt idx="13">
                  <c:v>326915</c:v>
                </c:pt>
                <c:pt idx="14">
                  <c:v>166642</c:v>
                </c:pt>
                <c:pt idx="15">
                  <c:v>273747</c:v>
                </c:pt>
                <c:pt idx="16">
                  <c:v>169517</c:v>
                </c:pt>
                <c:pt idx="17">
                  <c:v>105395</c:v>
                </c:pt>
                <c:pt idx="18">
                  <c:v>76432</c:v>
                </c:pt>
                <c:pt idx="19">
                  <c:v>51712</c:v>
                </c:pt>
                <c:pt idx="20">
                  <c:v>36854</c:v>
                </c:pt>
                <c:pt idx="21">
                  <c:v>75312</c:v>
                </c:pt>
                <c:pt idx="22">
                  <c:v>35783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6-3F28-4169-855F-A5649F09AD61}"/>
            </c:ext>
          </c:extLst>
        </c:ser>
        <c:ser>
          <c:idx val="3"/>
          <c:order val="6"/>
          <c:tx>
            <c:strRef>
              <c:f>'Grafy 4'!$C$95</c:f>
              <c:strCache>
                <c:ptCount val="1"/>
                <c:pt idx="0">
                  <c:v>Mimo GPN s přístupem na koncový trh</c:v>
                </c:pt>
              </c:strCache>
            </c:strRef>
          </c:tx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tx2">
                  <a:lumMod val="75000"/>
                  <a:lumOff val="25000"/>
                </a:schemeClr>
              </a:solidFill>
              <a:ln w="9525">
                <a:solidFill>
                  <a:schemeClr val="tx2">
                    <a:lumMod val="75000"/>
                    <a:lumOff val="25000"/>
                  </a:schemeClr>
                </a:solidFill>
              </a:ln>
              <a:effectLst/>
            </c:spPr>
          </c:marker>
          <c:xVal>
            <c:numRef>
              <c:f>'Grafy 4'!$O$95:$O$149</c:f>
              <c:numCache>
                <c:formatCode>0</c:formatCode>
                <c:ptCount val="55"/>
                <c:pt idx="0">
                  <c:v>82334</c:v>
                </c:pt>
                <c:pt idx="1">
                  <c:v>61397</c:v>
                </c:pt>
                <c:pt idx="2">
                  <c:v>76253</c:v>
                </c:pt>
                <c:pt idx="3">
                  <c:v>44100</c:v>
                </c:pt>
                <c:pt idx="4">
                  <c:v>52439</c:v>
                </c:pt>
                <c:pt idx="5">
                  <c:v>36247</c:v>
                </c:pt>
                <c:pt idx="6">
                  <c:v>25023</c:v>
                </c:pt>
                <c:pt idx="7">
                  <c:v>25862.000000000004</c:v>
                </c:pt>
                <c:pt idx="8">
                  <c:v>104981.00000000001</c:v>
                </c:pt>
                <c:pt idx="9">
                  <c:v>22663</c:v>
                </c:pt>
                <c:pt idx="10">
                  <c:v>34110</c:v>
                </c:pt>
                <c:pt idx="11">
                  <c:v>53516</c:v>
                </c:pt>
                <c:pt idx="12">
                  <c:v>27349</c:v>
                </c:pt>
                <c:pt idx="13">
                  <c:v>17495</c:v>
                </c:pt>
                <c:pt idx="14">
                  <c:v>95420</c:v>
                </c:pt>
                <c:pt idx="15">
                  <c:v>124938</c:v>
                </c:pt>
                <c:pt idx="16">
                  <c:v>139863</c:v>
                </c:pt>
                <c:pt idx="17">
                  <c:v>42702</c:v>
                </c:pt>
                <c:pt idx="18">
                  <c:v>42472</c:v>
                </c:pt>
                <c:pt idx="19">
                  <c:v>28896</c:v>
                </c:pt>
                <c:pt idx="20">
                  <c:v>40637</c:v>
                </c:pt>
                <c:pt idx="21">
                  <c:v>43694</c:v>
                </c:pt>
                <c:pt idx="22">
                  <c:v>41457</c:v>
                </c:pt>
                <c:pt idx="23">
                  <c:v>46384</c:v>
                </c:pt>
                <c:pt idx="24">
                  <c:v>53029</c:v>
                </c:pt>
                <c:pt idx="25">
                  <c:v>37187</c:v>
                </c:pt>
                <c:pt idx="26">
                  <c:v>54129</c:v>
                </c:pt>
                <c:pt idx="27">
                  <c:v>27263</c:v>
                </c:pt>
                <c:pt idx="28">
                  <c:v>19647.000000000004</c:v>
                </c:pt>
                <c:pt idx="29">
                  <c:v>43670</c:v>
                </c:pt>
                <c:pt idx="30">
                  <c:v>317766</c:v>
                </c:pt>
                <c:pt idx="31">
                  <c:v>132637</c:v>
                </c:pt>
                <c:pt idx="32">
                  <c:v>55266</c:v>
                </c:pt>
                <c:pt idx="33">
                  <c:v>64968</c:v>
                </c:pt>
                <c:pt idx="34">
                  <c:v>54951</c:v>
                </c:pt>
                <c:pt idx="35">
                  <c:v>72087</c:v>
                </c:pt>
                <c:pt idx="36">
                  <c:v>63709</c:v>
                </c:pt>
                <c:pt idx="37">
                  <c:v>101181</c:v>
                </c:pt>
                <c:pt idx="38">
                  <c:v>37862</c:v>
                </c:pt>
                <c:pt idx="39">
                  <c:v>42226</c:v>
                </c:pt>
                <c:pt idx="40">
                  <c:v>31018</c:v>
                </c:pt>
                <c:pt idx="41">
                  <c:v>80001</c:v>
                </c:pt>
                <c:pt idx="42">
                  <c:v>52920</c:v>
                </c:pt>
                <c:pt idx="43">
                  <c:v>35440</c:v>
                </c:pt>
                <c:pt idx="44">
                  <c:v>24393</c:v>
                </c:pt>
                <c:pt idx="45">
                  <c:v>271654</c:v>
                </c:pt>
                <c:pt idx="46">
                  <c:v>108559</c:v>
                </c:pt>
                <c:pt idx="47">
                  <c:v>27469</c:v>
                </c:pt>
                <c:pt idx="48">
                  <c:v>38907</c:v>
                </c:pt>
                <c:pt idx="49">
                  <c:v>65303</c:v>
                </c:pt>
                <c:pt idx="50">
                  <c:v>30425</c:v>
                </c:pt>
                <c:pt idx="51">
                  <c:v>45098</c:v>
                </c:pt>
                <c:pt idx="52">
                  <c:v>44444</c:v>
                </c:pt>
                <c:pt idx="53">
                  <c:v>23573</c:v>
                </c:pt>
                <c:pt idx="54">
                  <c:v>44366</c:v>
                </c:pt>
              </c:numCache>
            </c:numRef>
          </c:xVal>
          <c:yVal>
            <c:numRef>
              <c:f>'Grafy 4'!$L$95:$L$149</c:f>
              <c:numCache>
                <c:formatCode>0</c:formatCode>
                <c:ptCount val="55"/>
                <c:pt idx="0">
                  <c:v>125889</c:v>
                </c:pt>
                <c:pt idx="1">
                  <c:v>74656</c:v>
                </c:pt>
                <c:pt idx="2">
                  <c:v>86198.000000000015</c:v>
                </c:pt>
                <c:pt idx="3">
                  <c:v>49064</c:v>
                </c:pt>
                <c:pt idx="4">
                  <c:v>86913</c:v>
                </c:pt>
                <c:pt idx="5">
                  <c:v>22193</c:v>
                </c:pt>
                <c:pt idx="6">
                  <c:v>36701</c:v>
                </c:pt>
                <c:pt idx="7">
                  <c:v>29022.000000000004</c:v>
                </c:pt>
                <c:pt idx="8">
                  <c:v>109944</c:v>
                </c:pt>
                <c:pt idx="9">
                  <c:v>28003</c:v>
                </c:pt>
                <c:pt idx="10">
                  <c:v>73377</c:v>
                </c:pt>
                <c:pt idx="11">
                  <c:v>62761</c:v>
                </c:pt>
                <c:pt idx="12">
                  <c:v>27592.000000000004</c:v>
                </c:pt>
                <c:pt idx="13">
                  <c:v>21589.000000000004</c:v>
                </c:pt>
                <c:pt idx="14">
                  <c:v>124064</c:v>
                </c:pt>
                <c:pt idx="15">
                  <c:v>188111</c:v>
                </c:pt>
                <c:pt idx="16">
                  <c:v>170213</c:v>
                </c:pt>
                <c:pt idx="17">
                  <c:v>45832</c:v>
                </c:pt>
                <c:pt idx="18">
                  <c:v>49480.000000000007</c:v>
                </c:pt>
                <c:pt idx="19">
                  <c:v>30671</c:v>
                </c:pt>
                <c:pt idx="20">
                  <c:v>120534</c:v>
                </c:pt>
                <c:pt idx="21">
                  <c:v>50478</c:v>
                </c:pt>
                <c:pt idx="22">
                  <c:v>101642</c:v>
                </c:pt>
                <c:pt idx="23">
                  <c:v>53770</c:v>
                </c:pt>
                <c:pt idx="24">
                  <c:v>56867.000000000007</c:v>
                </c:pt>
                <c:pt idx="25">
                  <c:v>47378</c:v>
                </c:pt>
                <c:pt idx="26">
                  <c:v>70967</c:v>
                </c:pt>
                <c:pt idx="27">
                  <c:v>39612</c:v>
                </c:pt>
                <c:pt idx="28">
                  <c:v>46385</c:v>
                </c:pt>
                <c:pt idx="29">
                  <c:v>70527</c:v>
                </c:pt>
                <c:pt idx="30">
                  <c:v>434778</c:v>
                </c:pt>
                <c:pt idx="31">
                  <c:v>178785</c:v>
                </c:pt>
                <c:pt idx="32">
                  <c:v>66994</c:v>
                </c:pt>
                <c:pt idx="33">
                  <c:v>126922</c:v>
                </c:pt>
                <c:pt idx="34">
                  <c:v>80128</c:v>
                </c:pt>
                <c:pt idx="35">
                  <c:v>83768</c:v>
                </c:pt>
                <c:pt idx="36">
                  <c:v>67747</c:v>
                </c:pt>
                <c:pt idx="37">
                  <c:v>117937</c:v>
                </c:pt>
                <c:pt idx="38">
                  <c:v>29499.000000000004</c:v>
                </c:pt>
                <c:pt idx="39">
                  <c:v>48704</c:v>
                </c:pt>
                <c:pt idx="40">
                  <c:v>53491</c:v>
                </c:pt>
                <c:pt idx="41">
                  <c:v>140882</c:v>
                </c:pt>
                <c:pt idx="42">
                  <c:v>62791.000000000007</c:v>
                </c:pt>
                <c:pt idx="43">
                  <c:v>37770</c:v>
                </c:pt>
                <c:pt idx="44">
                  <c:v>30790</c:v>
                </c:pt>
                <c:pt idx="45">
                  <c:v>631125</c:v>
                </c:pt>
                <c:pt idx="46">
                  <c:v>193775</c:v>
                </c:pt>
                <c:pt idx="47">
                  <c:v>34650</c:v>
                </c:pt>
                <c:pt idx="48">
                  <c:v>71065</c:v>
                </c:pt>
                <c:pt idx="49">
                  <c:v>71185</c:v>
                </c:pt>
                <c:pt idx="50">
                  <c:v>31126</c:v>
                </c:pt>
                <c:pt idx="51">
                  <c:v>73830</c:v>
                </c:pt>
                <c:pt idx="52">
                  <c:v>77030</c:v>
                </c:pt>
                <c:pt idx="53">
                  <c:v>27465</c:v>
                </c:pt>
                <c:pt idx="54">
                  <c:v>66794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7-3F28-4169-855F-A5649F09AD61}"/>
            </c:ext>
          </c:extLst>
        </c:ser>
        <c:ser>
          <c:idx val="4"/>
          <c:order val="7"/>
          <c:tx>
            <c:strRef>
              <c:f>'Grafy 4'!$C$150</c:f>
              <c:strCache>
                <c:ptCount val="1"/>
                <c:pt idx="0">
                  <c:v>Mimo GPN bez přístupu na koncový trh</c:v>
                </c:pt>
              </c:strCache>
            </c:strRef>
          </c:tx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>
                  <a:lumMod val="20000"/>
                  <a:lumOff val="80000"/>
                </a:schemeClr>
              </a:solidFill>
              <a:ln w="9525">
                <a:solidFill>
                  <a:schemeClr val="accent1">
                    <a:lumMod val="20000"/>
                    <a:lumOff val="80000"/>
                  </a:schemeClr>
                </a:solidFill>
              </a:ln>
              <a:effectLst/>
            </c:spPr>
          </c:marker>
          <c:xVal>
            <c:numRef>
              <c:f>'Grafy 4'!$O$150:$O$171</c:f>
              <c:numCache>
                <c:formatCode>0</c:formatCode>
                <c:ptCount val="22"/>
                <c:pt idx="0">
                  <c:v>120880</c:v>
                </c:pt>
                <c:pt idx="1">
                  <c:v>49390</c:v>
                </c:pt>
                <c:pt idx="2">
                  <c:v>20356</c:v>
                </c:pt>
                <c:pt idx="3">
                  <c:v>30986</c:v>
                </c:pt>
                <c:pt idx="4">
                  <c:v>32985</c:v>
                </c:pt>
                <c:pt idx="5">
                  <c:v>50498</c:v>
                </c:pt>
                <c:pt idx="6">
                  <c:v>39821</c:v>
                </c:pt>
                <c:pt idx="7">
                  <c:v>28536</c:v>
                </c:pt>
                <c:pt idx="8">
                  <c:v>41871.5</c:v>
                </c:pt>
                <c:pt idx="9">
                  <c:v>107018.5</c:v>
                </c:pt>
                <c:pt idx="10">
                  <c:v>53381.5</c:v>
                </c:pt>
                <c:pt idx="11">
                  <c:v>28091.5</c:v>
                </c:pt>
                <c:pt idx="12">
                  <c:v>30428</c:v>
                </c:pt>
                <c:pt idx="13">
                  <c:v>27798.5</c:v>
                </c:pt>
                <c:pt idx="14">
                  <c:v>74657</c:v>
                </c:pt>
                <c:pt idx="15">
                  <c:v>37769</c:v>
                </c:pt>
                <c:pt idx="16">
                  <c:v>49054</c:v>
                </c:pt>
                <c:pt idx="17">
                  <c:v>30352.5</c:v>
                </c:pt>
                <c:pt idx="18">
                  <c:v>27939.5</c:v>
                </c:pt>
                <c:pt idx="19">
                  <c:v>68472</c:v>
                </c:pt>
                <c:pt idx="20">
                  <c:v>46746</c:v>
                </c:pt>
                <c:pt idx="21">
                  <c:v>60693</c:v>
                </c:pt>
              </c:numCache>
            </c:numRef>
          </c:xVal>
          <c:yVal>
            <c:numRef>
              <c:f>'Grafy 4'!$L$150:$L$171</c:f>
              <c:numCache>
                <c:formatCode>0</c:formatCode>
                <c:ptCount val="22"/>
                <c:pt idx="0">
                  <c:v>163791</c:v>
                </c:pt>
                <c:pt idx="1">
                  <c:v>171792</c:v>
                </c:pt>
                <c:pt idx="2">
                  <c:v>22362.000000000004</c:v>
                </c:pt>
                <c:pt idx="3">
                  <c:v>55527</c:v>
                </c:pt>
                <c:pt idx="4">
                  <c:v>38799</c:v>
                </c:pt>
                <c:pt idx="5">
                  <c:v>63972</c:v>
                </c:pt>
                <c:pt idx="6">
                  <c:v>48709</c:v>
                </c:pt>
                <c:pt idx="7">
                  <c:v>29618.000000000004</c:v>
                </c:pt>
                <c:pt idx="8">
                  <c:v>51143</c:v>
                </c:pt>
                <c:pt idx="9">
                  <c:v>122116.5</c:v>
                </c:pt>
                <c:pt idx="10">
                  <c:v>73826</c:v>
                </c:pt>
                <c:pt idx="11">
                  <c:v>71883.5</c:v>
                </c:pt>
                <c:pt idx="12">
                  <c:v>32138</c:v>
                </c:pt>
                <c:pt idx="13">
                  <c:v>31151.5</c:v>
                </c:pt>
                <c:pt idx="14">
                  <c:v>11531.499999999985</c:v>
                </c:pt>
                <c:pt idx="15">
                  <c:v>40358</c:v>
                </c:pt>
                <c:pt idx="16">
                  <c:v>73819</c:v>
                </c:pt>
                <c:pt idx="17">
                  <c:v>38755.5</c:v>
                </c:pt>
                <c:pt idx="18">
                  <c:v>29921</c:v>
                </c:pt>
                <c:pt idx="19">
                  <c:v>82877.5</c:v>
                </c:pt>
                <c:pt idx="20">
                  <c:v>130575</c:v>
                </c:pt>
                <c:pt idx="21">
                  <c:v>123951.00000000001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8-3F28-4169-855F-A5649F09AD6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806961680"/>
        <c:axId val="806962160"/>
      </c:scatterChart>
      <c:valAx>
        <c:axId val="80696168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r>
                  <a:rPr lang="cs-CZ" sz="900">
                    <a:solidFill>
                      <a:sysClr val="windowText" lastClr="000000"/>
                    </a:solidFill>
                    <a:latin typeface="Arial" panose="020B0604020202020204" pitchFamily="34" charset="0"/>
                    <a:cs typeface="Arial" panose="020B0604020202020204" pitchFamily="34" charset="0"/>
                  </a:rPr>
                  <a:t>Personální náklady</a:t>
                </a:r>
              </a:p>
            </c:rich>
          </c:tx>
          <c:layout>
            <c:manualLayout>
              <c:xMode val="edge"/>
              <c:yMode val="edge"/>
              <c:x val="0.4644287631984933"/>
              <c:y val="0.94390825762164343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900" b="0" i="0" u="none" strike="noStrike" kern="1200" baseline="0">
                  <a:solidFill>
                    <a:sysClr val="windowText" lastClr="000000"/>
                  </a:solidFill>
                  <a:latin typeface="Arial" panose="020B0604020202020204" pitchFamily="34" charset="0"/>
                  <a:ea typeface="+mn-ea"/>
                  <a:cs typeface="Arial" panose="020B0604020202020204" pitchFamily="34" charset="0"/>
                </a:defRPr>
              </a:pPr>
              <a:endParaRPr lang="cs-CZ"/>
            </a:p>
          </c:txPr>
        </c:title>
        <c:numFmt formatCode="0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cs-CZ"/>
          </a:p>
        </c:txPr>
        <c:crossAx val="806962160"/>
        <c:crosses val="autoZero"/>
        <c:crossBetween val="midCat"/>
      </c:valAx>
      <c:valAx>
        <c:axId val="80696216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r>
                  <a:rPr lang="cs-CZ" sz="900">
                    <a:solidFill>
                      <a:sysClr val="windowText" lastClr="000000"/>
                    </a:solidFill>
                    <a:latin typeface="Arial" panose="020B0604020202020204" pitchFamily="34" charset="0"/>
                    <a:cs typeface="Arial" panose="020B0604020202020204" pitchFamily="34" charset="0"/>
                  </a:rPr>
                  <a:t>Přidaná hodnota</a:t>
                </a:r>
              </a:p>
            </c:rich>
          </c:tx>
          <c:layout>
            <c:manualLayout>
              <c:xMode val="edge"/>
              <c:yMode val="edge"/>
              <c:x val="2.2265232113161432E-3"/>
              <c:y val="0.42349315566323442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0" i="0" u="none" strike="noStrike" kern="1200" baseline="0">
                  <a:solidFill>
                    <a:sysClr val="windowText" lastClr="000000"/>
                  </a:solidFill>
                  <a:latin typeface="Arial" panose="020B0604020202020204" pitchFamily="34" charset="0"/>
                  <a:ea typeface="+mn-ea"/>
                  <a:cs typeface="Arial" panose="020B0604020202020204" pitchFamily="34" charset="0"/>
                </a:defRPr>
              </a:pPr>
              <a:endParaRPr lang="cs-CZ"/>
            </a:p>
          </c:txPr>
        </c:title>
        <c:numFmt formatCode="0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cs-CZ"/>
          </a:p>
        </c:txPr>
        <c:crossAx val="806961680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r"/>
      <c:legendEntry>
        <c:idx val="0"/>
        <c:delete val="1"/>
      </c:legendEntry>
      <c:layout>
        <c:manualLayout>
          <c:xMode val="edge"/>
          <c:yMode val="edge"/>
          <c:x val="4.9802596375871928E-2"/>
          <c:y val="6.6730032708059606E-2"/>
          <c:w val="0.92563145860147933"/>
          <c:h val="0.1653956505574894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cs-CZ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cs-CZ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2">
  <a:schemeClr val="accent2"/>
  <a:schemeClr val="accent4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2">
  <a:schemeClr val="accent2"/>
  <a:schemeClr val="accent4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8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0.66333</cdr:x>
      <cdr:y>0.43119</cdr:y>
    </cdr:from>
    <cdr:to>
      <cdr:x>0.99333</cdr:x>
      <cdr:y>0.99541</cdr:y>
    </cdr:to>
    <cdr:sp macro="" textlink="">
      <cdr:nvSpPr>
        <cdr:cNvPr id="3" name="Textové pole 3"/>
        <cdr:cNvSpPr txBox="1"/>
      </cdr:nvSpPr>
      <cdr:spPr>
        <a:xfrm xmlns:a="http://schemas.openxmlformats.org/drawingml/2006/main">
          <a:off x="3790950" y="1790700"/>
          <a:ext cx="1885949" cy="2343150"/>
        </a:xfrm>
        <a:prstGeom xmlns:a="http://schemas.openxmlformats.org/drawingml/2006/main" prst="rect">
          <a:avLst/>
        </a:prstGeom>
        <a:solidFill xmlns:a="http://schemas.openxmlformats.org/drawingml/2006/main">
          <a:schemeClr val="lt1"/>
        </a:solidFill>
        <a:ln xmlns:a="http://schemas.openxmlformats.org/drawingml/2006/main" w="6350">
          <a:noFill/>
        </a:ln>
      </cdr:spPr>
      <cdr:txBody>
        <a:bodyPr xmlns:a="http://schemas.openxmlformats.org/drawingml/2006/main" rot="0" spcFirstLastPara="0" vert="horz" wrap="square" lIns="91440" tIns="45720" rIns="91440" bIns="45720" numCol="1" spcCol="0" rtlCol="0" fromWordArt="0" anchor="t" anchorCtr="0" forceAA="0" compatLnSpc="1">
          <a:prstTxWarp prst="textNoShape">
            <a:avLst/>
          </a:prstTxWarp>
          <a:noAutofit/>
        </a:bodyPr>
        <a:lstStyle xmlns:a="http://schemas.openxmlformats.org/drawingml/2006/main"/>
        <a:p xmlns:a="http://schemas.openxmlformats.org/drawingml/2006/main">
          <a:pPr>
            <a:lnSpc>
              <a:spcPct val="107000"/>
            </a:lnSpc>
            <a:spcAft>
              <a:spcPts val="800"/>
            </a:spcAft>
          </a:pPr>
          <a:r>
            <a:rPr lang="cs-CZ" sz="900" kern="100">
              <a:effectLst/>
              <a:latin typeface="Arial" panose="020B0604020202020204" pitchFamily="34" charset="0"/>
              <a:ea typeface="Aptos" panose="020B0004020202020204" pitchFamily="34" charset="0"/>
              <a:cs typeface="Times New Roman" panose="02020603050405020304" pitchFamily="18" charset="0"/>
            </a:rPr>
            <a:t>Legenda:</a:t>
          </a:r>
        </a:p>
        <a:p xmlns:a="http://schemas.openxmlformats.org/drawingml/2006/main">
          <a:pPr>
            <a:lnSpc>
              <a:spcPct val="107000"/>
            </a:lnSpc>
            <a:spcAft>
              <a:spcPts val="800"/>
            </a:spcAft>
          </a:pPr>
          <a:r>
            <a:rPr lang="cs-CZ" sz="900" kern="100">
              <a:effectLst/>
              <a:latin typeface="Arial" panose="020B0604020202020204" pitchFamily="34" charset="0"/>
              <a:ea typeface="Aptos" panose="020B0004020202020204" pitchFamily="34" charset="0"/>
              <a:cs typeface="Times New Roman" panose="02020603050405020304" pitchFamily="18" charset="0"/>
            </a:rPr>
            <a:t>1 - vedoucí firma (integrátor)</a:t>
          </a:r>
        </a:p>
        <a:p xmlns:a="http://schemas.openxmlformats.org/drawingml/2006/main">
          <a:pPr>
            <a:lnSpc>
              <a:spcPct val="107000"/>
            </a:lnSpc>
            <a:spcAft>
              <a:spcPts val="800"/>
            </a:spcAft>
          </a:pPr>
          <a:r>
            <a:rPr lang="cs-CZ" sz="900" kern="100">
              <a:effectLst/>
              <a:latin typeface="Arial" panose="020B0604020202020204" pitchFamily="34" charset="0"/>
              <a:ea typeface="Aptos" panose="020B0004020202020204" pitchFamily="34" charset="0"/>
              <a:cs typeface="Times New Roman" panose="02020603050405020304" pitchFamily="18" charset="0"/>
            </a:rPr>
            <a:t>2 -</a:t>
          </a:r>
          <a:r>
            <a:rPr lang="cs-CZ" sz="900" kern="100" baseline="0">
              <a:effectLst/>
              <a:latin typeface="Arial" panose="020B0604020202020204" pitchFamily="34" charset="0"/>
              <a:ea typeface="Aptos" panose="020B0004020202020204" pitchFamily="34" charset="0"/>
              <a:cs typeface="Times New Roman" panose="02020603050405020304" pitchFamily="18" charset="0"/>
            </a:rPr>
            <a:t> pobočka zahraniční vedoucí firmy</a:t>
          </a:r>
        </a:p>
        <a:p xmlns:a="http://schemas.openxmlformats.org/drawingml/2006/main">
          <a:pPr>
            <a:lnSpc>
              <a:spcPct val="107000"/>
            </a:lnSpc>
            <a:spcAft>
              <a:spcPts val="800"/>
            </a:spcAft>
          </a:pPr>
          <a:r>
            <a:rPr lang="cs-CZ" sz="900" kern="100" baseline="0">
              <a:effectLst/>
              <a:latin typeface="Arial" panose="020B0604020202020204" pitchFamily="34" charset="0"/>
              <a:ea typeface="Aptos" panose="020B0004020202020204" pitchFamily="34" charset="0"/>
              <a:cs typeface="Times New Roman" panose="02020603050405020304" pitchFamily="18" charset="0"/>
            </a:rPr>
            <a:t>3 - dodavatel 1. řádu</a:t>
          </a:r>
        </a:p>
        <a:p xmlns:a="http://schemas.openxmlformats.org/drawingml/2006/main">
          <a:pPr>
            <a:lnSpc>
              <a:spcPct val="107000"/>
            </a:lnSpc>
            <a:spcAft>
              <a:spcPts val="800"/>
            </a:spcAft>
          </a:pPr>
          <a:r>
            <a:rPr lang="cs-CZ" sz="900" kern="100" baseline="0">
              <a:effectLst/>
              <a:latin typeface="Arial" panose="020B0604020202020204" pitchFamily="34" charset="0"/>
              <a:ea typeface="Aptos" panose="020B0004020202020204" pitchFamily="34" charset="0"/>
              <a:cs typeface="Times New Roman" panose="02020603050405020304" pitchFamily="18" charset="0"/>
            </a:rPr>
            <a:t>4 - dodavatel 2. řádu</a:t>
          </a:r>
        </a:p>
        <a:p xmlns:a="http://schemas.openxmlformats.org/drawingml/2006/main">
          <a:pPr>
            <a:lnSpc>
              <a:spcPct val="107000"/>
            </a:lnSpc>
            <a:spcAft>
              <a:spcPts val="800"/>
            </a:spcAft>
          </a:pPr>
          <a:r>
            <a:rPr lang="cs-CZ" sz="900" kern="100" baseline="0">
              <a:effectLst/>
              <a:latin typeface="Arial" panose="020B0604020202020204" pitchFamily="34" charset="0"/>
              <a:ea typeface="Aptos" panose="020B0004020202020204" pitchFamily="34" charset="0"/>
              <a:cs typeface="Times New Roman" panose="02020603050405020304" pitchFamily="18" charset="0"/>
            </a:rPr>
            <a:t>5 - dodavatel 3. řádu</a:t>
          </a:r>
        </a:p>
        <a:p xmlns:a="http://schemas.openxmlformats.org/drawingml/2006/main">
          <a:pPr>
            <a:lnSpc>
              <a:spcPct val="107000"/>
            </a:lnSpc>
            <a:spcAft>
              <a:spcPts val="800"/>
            </a:spcAft>
          </a:pPr>
          <a:r>
            <a:rPr lang="cs-CZ" sz="900" kern="100" baseline="0">
              <a:effectLst/>
              <a:latin typeface="Arial" panose="020B0604020202020204" pitchFamily="34" charset="0"/>
              <a:ea typeface="Aptos" panose="020B0004020202020204" pitchFamily="34" charset="0"/>
              <a:cs typeface="Times New Roman" panose="02020603050405020304" pitchFamily="18" charset="0"/>
            </a:rPr>
            <a:t>6 - mimo GPN s přístupem na koncový trh</a:t>
          </a:r>
        </a:p>
        <a:p xmlns:a="http://schemas.openxmlformats.org/drawingml/2006/main">
          <a:pPr>
            <a:lnSpc>
              <a:spcPct val="107000"/>
            </a:lnSpc>
            <a:spcAft>
              <a:spcPts val="800"/>
            </a:spcAft>
          </a:pPr>
          <a:r>
            <a:rPr lang="cs-CZ" sz="900" kern="100" baseline="0">
              <a:effectLst/>
              <a:latin typeface="Arial" panose="020B0604020202020204" pitchFamily="34" charset="0"/>
              <a:ea typeface="Aptos" panose="020B0004020202020204" pitchFamily="34" charset="0"/>
              <a:cs typeface="Times New Roman" panose="02020603050405020304" pitchFamily="18" charset="0"/>
            </a:rPr>
            <a:t>7 - mimo GPN bez přístupu na koncový trh</a:t>
          </a:r>
        </a:p>
      </cdr:txBody>
    </cdr:sp>
  </cdr:relSizeAnchor>
</c:userShapes>
</file>

<file path=word/drawings/drawing2.xml><?xml version="1.0" encoding="utf-8"?>
<c:userShapes xmlns:c="http://schemas.openxmlformats.org/drawingml/2006/chart">
  <cdr:relSizeAnchor xmlns:cdr="http://schemas.openxmlformats.org/drawingml/2006/chartDrawing">
    <cdr:from>
      <cdr:x>0.66667</cdr:x>
      <cdr:y>0.43833</cdr:y>
    </cdr:from>
    <cdr:to>
      <cdr:x>0.99667</cdr:x>
      <cdr:y>1</cdr:y>
    </cdr:to>
    <cdr:sp macro="" textlink="">
      <cdr:nvSpPr>
        <cdr:cNvPr id="2" name="Textové pole 3"/>
        <cdr:cNvSpPr txBox="1"/>
      </cdr:nvSpPr>
      <cdr:spPr>
        <a:xfrm xmlns:a="http://schemas.openxmlformats.org/drawingml/2006/main">
          <a:off x="3810001" y="1895474"/>
          <a:ext cx="1885949" cy="2428875"/>
        </a:xfrm>
        <a:prstGeom xmlns:a="http://schemas.openxmlformats.org/drawingml/2006/main" prst="rect">
          <a:avLst/>
        </a:prstGeom>
        <a:solidFill xmlns:a="http://schemas.openxmlformats.org/drawingml/2006/main">
          <a:schemeClr val="lt1"/>
        </a:solidFill>
        <a:ln xmlns:a="http://schemas.openxmlformats.org/drawingml/2006/main" w="6350">
          <a:noFill/>
        </a:ln>
      </cdr:spPr>
      <cdr:txBody>
        <a:bodyPr xmlns:a="http://schemas.openxmlformats.org/drawingml/2006/main" rot="0" spcFirstLastPara="0" vert="horz" wrap="square" lIns="91440" tIns="45720" rIns="91440" bIns="45720" numCol="1" spcCol="0" rtlCol="0" fromWordArt="0" anchor="t" anchorCtr="0" forceAA="0" compatLnSpc="1">
          <a:prstTxWarp prst="textNoShape">
            <a:avLst/>
          </a:prstTxWarp>
          <a:noAutofit/>
        </a:bodyPr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>
            <a:lnSpc>
              <a:spcPct val="107000"/>
            </a:lnSpc>
            <a:spcAft>
              <a:spcPts val="800"/>
            </a:spcAft>
          </a:pPr>
          <a:r>
            <a:rPr lang="cs-CZ" sz="900" kern="100">
              <a:effectLst/>
              <a:latin typeface="Arial" panose="020B0604020202020204" pitchFamily="34" charset="0"/>
              <a:ea typeface="Aptos" panose="020B0004020202020204" pitchFamily="34" charset="0"/>
              <a:cs typeface="Times New Roman" panose="02020603050405020304" pitchFamily="18" charset="0"/>
            </a:rPr>
            <a:t>Legenda:</a:t>
          </a:r>
        </a:p>
        <a:p xmlns:a="http://schemas.openxmlformats.org/drawingml/2006/main">
          <a:pPr>
            <a:lnSpc>
              <a:spcPct val="107000"/>
            </a:lnSpc>
            <a:spcAft>
              <a:spcPts val="800"/>
            </a:spcAft>
          </a:pPr>
          <a:r>
            <a:rPr lang="cs-CZ" sz="900" kern="100">
              <a:effectLst/>
              <a:latin typeface="Arial" panose="020B0604020202020204" pitchFamily="34" charset="0"/>
              <a:ea typeface="Aptos" panose="020B0004020202020204" pitchFamily="34" charset="0"/>
              <a:cs typeface="Times New Roman" panose="02020603050405020304" pitchFamily="18" charset="0"/>
            </a:rPr>
            <a:t>1 - vedoucí firma (integrátor)</a:t>
          </a:r>
        </a:p>
        <a:p xmlns:a="http://schemas.openxmlformats.org/drawingml/2006/main">
          <a:pPr>
            <a:lnSpc>
              <a:spcPct val="107000"/>
            </a:lnSpc>
            <a:spcAft>
              <a:spcPts val="800"/>
            </a:spcAft>
          </a:pPr>
          <a:r>
            <a:rPr lang="cs-CZ" sz="900" kern="100">
              <a:effectLst/>
              <a:latin typeface="Arial" panose="020B0604020202020204" pitchFamily="34" charset="0"/>
              <a:ea typeface="Aptos" panose="020B0004020202020204" pitchFamily="34" charset="0"/>
              <a:cs typeface="Times New Roman" panose="02020603050405020304" pitchFamily="18" charset="0"/>
            </a:rPr>
            <a:t>2 -</a:t>
          </a:r>
          <a:r>
            <a:rPr lang="cs-CZ" sz="900" kern="100" baseline="0">
              <a:effectLst/>
              <a:latin typeface="Arial" panose="020B0604020202020204" pitchFamily="34" charset="0"/>
              <a:ea typeface="Aptos" panose="020B0004020202020204" pitchFamily="34" charset="0"/>
              <a:cs typeface="Times New Roman" panose="02020603050405020304" pitchFamily="18" charset="0"/>
            </a:rPr>
            <a:t> pobočka zahraniční vedoucí firmy</a:t>
          </a:r>
        </a:p>
        <a:p xmlns:a="http://schemas.openxmlformats.org/drawingml/2006/main">
          <a:pPr>
            <a:lnSpc>
              <a:spcPct val="107000"/>
            </a:lnSpc>
            <a:spcAft>
              <a:spcPts val="800"/>
            </a:spcAft>
          </a:pPr>
          <a:r>
            <a:rPr lang="cs-CZ" sz="900" kern="100" baseline="0">
              <a:effectLst/>
              <a:latin typeface="Arial" panose="020B0604020202020204" pitchFamily="34" charset="0"/>
              <a:ea typeface="Aptos" panose="020B0004020202020204" pitchFamily="34" charset="0"/>
              <a:cs typeface="Times New Roman" panose="02020603050405020304" pitchFamily="18" charset="0"/>
            </a:rPr>
            <a:t>3 - dodavatel 1. řádu</a:t>
          </a:r>
        </a:p>
        <a:p xmlns:a="http://schemas.openxmlformats.org/drawingml/2006/main">
          <a:pPr>
            <a:lnSpc>
              <a:spcPct val="107000"/>
            </a:lnSpc>
            <a:spcAft>
              <a:spcPts val="800"/>
            </a:spcAft>
          </a:pPr>
          <a:r>
            <a:rPr lang="cs-CZ" sz="900" kern="100" baseline="0">
              <a:effectLst/>
              <a:latin typeface="Arial" panose="020B0604020202020204" pitchFamily="34" charset="0"/>
              <a:ea typeface="Aptos" panose="020B0004020202020204" pitchFamily="34" charset="0"/>
              <a:cs typeface="Times New Roman" panose="02020603050405020304" pitchFamily="18" charset="0"/>
            </a:rPr>
            <a:t>4 - dodavatel 2. řádu</a:t>
          </a:r>
        </a:p>
        <a:p xmlns:a="http://schemas.openxmlformats.org/drawingml/2006/main">
          <a:pPr>
            <a:lnSpc>
              <a:spcPct val="107000"/>
            </a:lnSpc>
            <a:spcAft>
              <a:spcPts val="800"/>
            </a:spcAft>
          </a:pPr>
          <a:r>
            <a:rPr lang="cs-CZ" sz="900" kern="100" baseline="0">
              <a:effectLst/>
              <a:latin typeface="Arial" panose="020B0604020202020204" pitchFamily="34" charset="0"/>
              <a:ea typeface="Aptos" panose="020B0004020202020204" pitchFamily="34" charset="0"/>
              <a:cs typeface="Times New Roman" panose="02020603050405020304" pitchFamily="18" charset="0"/>
            </a:rPr>
            <a:t>5 - dodavatel 3. řádu</a:t>
          </a:r>
        </a:p>
        <a:p xmlns:a="http://schemas.openxmlformats.org/drawingml/2006/main">
          <a:pPr>
            <a:lnSpc>
              <a:spcPct val="107000"/>
            </a:lnSpc>
            <a:spcAft>
              <a:spcPts val="800"/>
            </a:spcAft>
          </a:pPr>
          <a:r>
            <a:rPr lang="cs-CZ" sz="900" kern="100" baseline="0">
              <a:effectLst/>
              <a:latin typeface="Arial" panose="020B0604020202020204" pitchFamily="34" charset="0"/>
              <a:ea typeface="Aptos" panose="020B0004020202020204" pitchFamily="34" charset="0"/>
              <a:cs typeface="Times New Roman" panose="02020603050405020304" pitchFamily="18" charset="0"/>
            </a:rPr>
            <a:t>6 - mimo GPN s přístupem na koncový trh</a:t>
          </a:r>
        </a:p>
        <a:p xmlns:a="http://schemas.openxmlformats.org/drawingml/2006/main">
          <a:pPr>
            <a:lnSpc>
              <a:spcPct val="107000"/>
            </a:lnSpc>
            <a:spcAft>
              <a:spcPts val="800"/>
            </a:spcAft>
          </a:pPr>
          <a:r>
            <a:rPr lang="cs-CZ" sz="900" kern="100" baseline="0">
              <a:effectLst/>
              <a:latin typeface="Arial" panose="020B0604020202020204" pitchFamily="34" charset="0"/>
              <a:ea typeface="Aptos" panose="020B0004020202020204" pitchFamily="34" charset="0"/>
              <a:cs typeface="Times New Roman" panose="02020603050405020304" pitchFamily="18" charset="0"/>
            </a:rPr>
            <a:t>7 - mimo GPN bez přístupu na koncový trh</a:t>
          </a:r>
        </a:p>
      </cdr:txBody>
    </cdr:sp>
  </cdr:relSizeAnchor>
  <cdr:relSizeAnchor xmlns:cdr="http://schemas.openxmlformats.org/drawingml/2006/chartDrawing">
    <cdr:from>
      <cdr:x>0.69333</cdr:x>
      <cdr:y>0.01145</cdr:y>
    </cdr:from>
    <cdr:to>
      <cdr:x>0.97833</cdr:x>
      <cdr:y>0.06818</cdr:y>
    </cdr:to>
    <cdr:sp macro="" textlink="">
      <cdr:nvSpPr>
        <cdr:cNvPr id="3" name="Textové pole 3"/>
        <cdr:cNvSpPr txBox="1"/>
      </cdr:nvSpPr>
      <cdr:spPr>
        <a:xfrm xmlns:a="http://schemas.openxmlformats.org/drawingml/2006/main">
          <a:off x="3962399" y="48001"/>
          <a:ext cx="1628775" cy="237749"/>
        </a:xfrm>
        <a:prstGeom xmlns:a="http://schemas.openxmlformats.org/drawingml/2006/main" prst="rect">
          <a:avLst/>
        </a:prstGeom>
        <a:solidFill xmlns:a="http://schemas.openxmlformats.org/drawingml/2006/main">
          <a:schemeClr val="lt1"/>
        </a:solidFill>
        <a:ln xmlns:a="http://schemas.openxmlformats.org/drawingml/2006/main" w="6350">
          <a:noFill/>
        </a:ln>
      </cdr:spPr>
      <cdr:txBody>
        <a:bodyPr xmlns:a="http://schemas.openxmlformats.org/drawingml/2006/main" rot="0" spcFirstLastPara="0" vert="horz" wrap="square" lIns="91440" tIns="45720" rIns="91440" bIns="45720" numCol="1" spcCol="0" rtlCol="0" fromWordArt="0" anchor="t" anchorCtr="0" forceAA="0" compatLnSpc="1">
          <a:prstTxWarp prst="textNoShape">
            <a:avLst/>
          </a:prstTxWarp>
          <a:noAutofit/>
        </a:bodyPr>
        <a:lstStyle xmlns:a="http://schemas.openxmlformats.org/drawingml/2006/main"/>
        <a:p xmlns:a="http://schemas.openxmlformats.org/drawingml/2006/main">
          <a:pPr>
            <a:lnSpc>
              <a:spcPct val="107000"/>
            </a:lnSpc>
            <a:spcAft>
              <a:spcPts val="800"/>
            </a:spcAft>
          </a:pPr>
          <a:r>
            <a:rPr lang="cs-CZ" sz="900" kern="100">
              <a:effectLst/>
              <a:latin typeface="Arial" panose="020B0604020202020204" pitchFamily="34" charset="0"/>
              <a:ea typeface="Aptos" panose="020B0004020202020204" pitchFamily="34" charset="0"/>
              <a:cs typeface="Times New Roman" panose="02020603050405020304" pitchFamily="18" charset="0"/>
            </a:rPr>
            <a:t>Rozptyl hodnoty udržené:</a:t>
          </a:r>
          <a:endParaRPr lang="cs-CZ" sz="1100" kern="100">
            <a:effectLst/>
            <a:latin typeface="Aptos" panose="020B0004020202020204" pitchFamily="34" charset="0"/>
            <a:ea typeface="Aptos" panose="020B0004020202020204" pitchFamily="34" charset="0"/>
            <a:cs typeface="Times New Roman" panose="02020603050405020304" pitchFamily="18" charset="0"/>
          </a:endParaRPr>
        </a:p>
      </cdr:txBody>
    </cdr:sp>
  </cdr:relSizeAnchor>
</c:userShape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aeec678-e23f-4141-88a9-2d5ecc2ad676" xsi:nil="true"/>
    <lcf76f155ced4ddcb4097134ff3c332f xmlns="846ce3a8-405a-48c5-b953-024cc9ff8d5c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9ECC0D4F91C9841AE9D61F00DEEF697" ma:contentTypeVersion="19" ma:contentTypeDescription="Vytvoří nový dokument" ma:contentTypeScope="" ma:versionID="267f29c9b1821f418ca7db5df4f22e3a">
  <xsd:schema xmlns:xsd="http://www.w3.org/2001/XMLSchema" xmlns:xs="http://www.w3.org/2001/XMLSchema" xmlns:p="http://schemas.microsoft.com/office/2006/metadata/properties" xmlns:ns2="846ce3a8-405a-48c5-b953-024cc9ff8d5c" xmlns:ns3="eaeec678-e23f-4141-88a9-2d5ecc2ad676" targetNamespace="http://schemas.microsoft.com/office/2006/metadata/properties" ma:root="true" ma:fieldsID="24e022cbd045bb3698fb0f50b54c2244" ns2:_="" ns3:_="">
    <xsd:import namespace="846ce3a8-405a-48c5-b953-024cc9ff8d5c"/>
    <xsd:import namespace="eaeec678-e23f-4141-88a9-2d5ecc2ad67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6ce3a8-405a-48c5-b953-024cc9ff8d5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Značky obrázků" ma:readOnly="false" ma:fieldId="{5cf76f15-5ced-4ddc-b409-7134ff3c332f}" ma:taxonomyMulti="true" ma:sspId="3ca89a78-0c2b-4097-a422-8ea36a1f65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eec678-e23f-4141-88a9-2d5ecc2ad676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a2f4d1e-19bd-484b-b1b4-8b7943194994}" ma:internalName="TaxCatchAll" ma:showField="CatchAllData" ma:web="eaeec678-e23f-4141-88a9-2d5ecc2ad67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59A09C0-262F-4675-B50D-EA45C48B752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441EC91-FA18-494D-9957-C33EC6327B52}">
  <ds:schemaRefs>
    <ds:schemaRef ds:uri="http://schemas.microsoft.com/office/2006/metadata/properties"/>
    <ds:schemaRef ds:uri="http://schemas.microsoft.com/office/infopath/2007/PartnerControls"/>
    <ds:schemaRef ds:uri="eaeec678-e23f-4141-88a9-2d5ecc2ad676"/>
    <ds:schemaRef ds:uri="846ce3a8-405a-48c5-b953-024cc9ff8d5c"/>
  </ds:schemaRefs>
</ds:datastoreItem>
</file>

<file path=customXml/itemProps3.xml><?xml version="1.0" encoding="utf-8"?>
<ds:datastoreItem xmlns:ds="http://schemas.openxmlformats.org/officeDocument/2006/customXml" ds:itemID="{DC4AD8F3-0C66-48E9-B0E1-9A7B26C6FDC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C73DEB8-C32A-4290-B6EE-49EFC2E546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6ce3a8-405a-48c5-b953-024cc9ff8d5c"/>
    <ds:schemaRef ds:uri="eaeec678-e23f-4141-88a9-2d5ecc2ad6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21</Pages>
  <Words>5623</Words>
  <Characters>33182</Characters>
  <Application>Microsoft Office Word</Application>
  <DocSecurity>0</DocSecurity>
  <Lines>276</Lines>
  <Paragraphs>77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Globální produkční sítě ve vybraných odvětvích v Plzeňském kraji</dc:title>
  <dc:subject/>
  <dc:creator>Viktorie Sloupová</dc:creator>
  <cp:keywords/>
  <dc:description/>
  <cp:lastModifiedBy>Pavel Beneš</cp:lastModifiedBy>
  <cp:revision>6</cp:revision>
  <dcterms:created xsi:type="dcterms:W3CDTF">2025-09-15T13:58:00Z</dcterms:created>
  <dcterms:modified xsi:type="dcterms:W3CDTF">2025-09-18T07:34:00Z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0x01010019ECC0D4F91C9841AE9D61F00DEEF697</vt:lpwstr>
  </property>
  <property fmtid="{D5CDD505-2E9C-101B-9397-08002B2CF9AE}" pid="3" name="MediaServiceImageTags">
    <vt:lpwstr/>
  </property>
</Properties>
</file>